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4965C6">
      <w:pPr>
        <w:spacing w:before="120" w:after="120" w:line="360" w:lineRule="auto"/>
        <w:jc w:val="left"/>
        <w:rPr>
          <w:rFonts w:ascii="Arial" w:hAnsi="Arial" w:eastAsia="黑体"/>
          <w:b/>
          <w:bCs/>
          <w:color w:val="auto"/>
          <w:sz w:val="84"/>
          <w:szCs w:val="24"/>
          <w:highlight w:val="none"/>
        </w:rPr>
      </w:pPr>
    </w:p>
    <w:p w14:paraId="4ADD6A14">
      <w:pPr>
        <w:spacing w:before="120" w:after="120" w:line="360" w:lineRule="auto"/>
        <w:jc w:val="center"/>
        <w:rPr>
          <w:rFonts w:hint="eastAsia" w:ascii="黑体" w:hAnsi="黑体" w:eastAsia="黑体"/>
          <w:bCs/>
          <w:color w:val="auto"/>
          <w:sz w:val="72"/>
          <w:szCs w:val="24"/>
          <w:highlight w:val="none"/>
        </w:rPr>
      </w:pPr>
      <w:r>
        <w:rPr>
          <w:rFonts w:hint="eastAsia" w:ascii="黑体" w:hAnsi="黑体" w:eastAsia="黑体"/>
          <w:bCs/>
          <w:color w:val="auto"/>
          <w:sz w:val="72"/>
          <w:szCs w:val="24"/>
          <w:highlight w:val="none"/>
        </w:rPr>
        <w:t>招 标 文 件</w:t>
      </w:r>
    </w:p>
    <w:p w14:paraId="1EBCBF05">
      <w:pPr>
        <w:spacing w:before="120" w:after="120" w:line="360" w:lineRule="auto"/>
        <w:ind w:firstLine="2249"/>
        <w:jc w:val="left"/>
        <w:rPr>
          <w:rFonts w:hint="eastAsia" w:ascii="黑体" w:hAnsi="黑体" w:eastAsia="黑体"/>
          <w:b/>
          <w:bCs/>
          <w:color w:val="auto"/>
          <w:sz w:val="32"/>
          <w:szCs w:val="24"/>
          <w:highlight w:val="none"/>
        </w:rPr>
      </w:pPr>
    </w:p>
    <w:p w14:paraId="0134C6BB">
      <w:pPr>
        <w:spacing w:before="120" w:after="120" w:line="480" w:lineRule="auto"/>
        <w:jc w:val="center"/>
        <w:rPr>
          <w:rFonts w:hint="eastAsia" w:ascii="黑体" w:hAnsi="黑体" w:eastAsia="黑体"/>
          <w:bCs/>
          <w:color w:val="auto"/>
          <w:sz w:val="40"/>
          <w:szCs w:val="40"/>
          <w:highlight w:val="none"/>
          <w:lang w:eastAsia="zh-CN"/>
        </w:rPr>
      </w:pPr>
      <w:r>
        <w:rPr>
          <w:rFonts w:hint="eastAsia" w:ascii="黑体" w:hAnsi="黑体" w:eastAsia="黑体"/>
          <w:bCs/>
          <w:color w:val="auto"/>
          <w:spacing w:val="-17"/>
          <w:sz w:val="40"/>
          <w:szCs w:val="40"/>
          <w:highlight w:val="none"/>
        </w:rPr>
        <w:t>项目名称：</w:t>
      </w:r>
      <w:r>
        <w:rPr>
          <w:rFonts w:hint="eastAsia" w:ascii="黑体" w:hAnsi="黑体" w:eastAsia="黑体"/>
          <w:bCs/>
          <w:color w:val="auto"/>
          <w:spacing w:val="-17"/>
          <w:sz w:val="40"/>
          <w:szCs w:val="40"/>
          <w:highlight w:val="none"/>
          <w:lang w:eastAsia="zh-CN"/>
        </w:rPr>
        <w:t>阜宁县沟墩中心卫生院CT维保项目</w:t>
      </w:r>
    </w:p>
    <w:p w14:paraId="422E4C47">
      <w:pPr>
        <w:spacing w:before="120" w:after="120" w:line="480" w:lineRule="auto"/>
        <w:jc w:val="center"/>
        <w:rPr>
          <w:rFonts w:hint="eastAsia" w:ascii="黑体" w:hAnsi="黑体" w:eastAsia="黑体"/>
          <w:b/>
          <w:bCs/>
          <w:color w:val="auto"/>
          <w:sz w:val="40"/>
          <w:szCs w:val="40"/>
          <w:highlight w:val="none"/>
          <w:lang w:eastAsia="zh-CN"/>
        </w:rPr>
      </w:pPr>
      <w:r>
        <w:rPr>
          <w:rFonts w:hint="eastAsia" w:ascii="黑体" w:hAnsi="黑体" w:eastAsia="黑体"/>
          <w:bCs/>
          <w:color w:val="auto"/>
          <w:sz w:val="40"/>
          <w:szCs w:val="40"/>
          <w:highlight w:val="none"/>
        </w:rPr>
        <w:t>项目编号：</w:t>
      </w:r>
      <w:r>
        <w:rPr>
          <w:rFonts w:hint="eastAsia" w:ascii="黑体" w:hAnsi="黑体" w:eastAsia="黑体"/>
          <w:bCs/>
          <w:color w:val="auto"/>
          <w:sz w:val="40"/>
          <w:szCs w:val="40"/>
          <w:highlight w:val="none"/>
          <w:lang w:eastAsia="zh-CN"/>
        </w:rPr>
        <w:t>JSZC-320923-SNST-G2025-0002</w:t>
      </w:r>
    </w:p>
    <w:p w14:paraId="645E5965">
      <w:pPr>
        <w:ind w:left="2100" w:hanging="2100"/>
        <w:rPr>
          <w:b/>
          <w:color w:val="auto"/>
          <w:sz w:val="30"/>
          <w:szCs w:val="30"/>
          <w:highlight w:val="none"/>
        </w:rPr>
      </w:pPr>
      <w:r>
        <w:rPr>
          <w:rFonts w:hint="eastAsia"/>
          <w:color w:val="auto"/>
          <w:szCs w:val="21"/>
          <w:highlight w:val="none"/>
        </w:rPr>
        <w:t xml:space="preserve">           </w:t>
      </w:r>
      <w:r>
        <w:rPr>
          <w:rFonts w:hint="eastAsia"/>
          <w:b/>
          <w:color w:val="auto"/>
          <w:sz w:val="30"/>
          <w:szCs w:val="30"/>
          <w:highlight w:val="none"/>
        </w:rPr>
        <w:t xml:space="preserve">  </w:t>
      </w:r>
    </w:p>
    <w:p w14:paraId="3AEF5F7A">
      <w:pPr>
        <w:pStyle w:val="305"/>
        <w:rPr>
          <w:color w:val="auto"/>
          <w:highlight w:val="none"/>
        </w:rPr>
      </w:pPr>
    </w:p>
    <w:p w14:paraId="631F0187">
      <w:pPr>
        <w:spacing w:line="360" w:lineRule="auto"/>
        <w:jc w:val="left"/>
        <w:rPr>
          <w:rFonts w:hint="eastAsia" w:ascii="宋体" w:hAnsi="宋体"/>
          <w:color w:val="auto"/>
          <w:sz w:val="24"/>
          <w:szCs w:val="24"/>
          <w:highlight w:val="none"/>
        </w:rPr>
      </w:pPr>
    </w:p>
    <w:p w14:paraId="37CD94BF">
      <w:pPr>
        <w:spacing w:line="360" w:lineRule="auto"/>
        <w:jc w:val="left"/>
        <w:rPr>
          <w:rFonts w:hint="eastAsia" w:ascii="宋体" w:hAnsi="宋体"/>
          <w:color w:val="auto"/>
          <w:sz w:val="24"/>
          <w:szCs w:val="24"/>
          <w:highlight w:val="none"/>
        </w:rPr>
      </w:pPr>
    </w:p>
    <w:p w14:paraId="7986681A">
      <w:pPr>
        <w:spacing w:line="360" w:lineRule="auto"/>
        <w:jc w:val="left"/>
        <w:rPr>
          <w:rFonts w:hint="eastAsia" w:ascii="宋体" w:hAnsi="宋体"/>
          <w:color w:val="auto"/>
          <w:sz w:val="24"/>
          <w:szCs w:val="24"/>
          <w:highlight w:val="none"/>
        </w:rPr>
      </w:pPr>
    </w:p>
    <w:p w14:paraId="551B5CB5">
      <w:pPr>
        <w:spacing w:line="360" w:lineRule="auto"/>
        <w:jc w:val="left"/>
        <w:rPr>
          <w:rFonts w:hint="eastAsia" w:ascii="宋体" w:hAnsi="宋体"/>
          <w:color w:val="auto"/>
          <w:sz w:val="24"/>
          <w:szCs w:val="24"/>
          <w:highlight w:val="none"/>
        </w:rPr>
      </w:pPr>
    </w:p>
    <w:p w14:paraId="2638804B">
      <w:pPr>
        <w:spacing w:line="360" w:lineRule="auto"/>
        <w:jc w:val="left"/>
        <w:rPr>
          <w:rFonts w:hint="eastAsia" w:ascii="宋体" w:hAnsi="宋体"/>
          <w:color w:val="auto"/>
          <w:sz w:val="24"/>
          <w:szCs w:val="24"/>
          <w:highlight w:val="none"/>
        </w:rPr>
      </w:pPr>
    </w:p>
    <w:p w14:paraId="2CA96C5C">
      <w:pPr>
        <w:spacing w:line="360" w:lineRule="auto"/>
        <w:jc w:val="left"/>
        <w:rPr>
          <w:rFonts w:hint="eastAsia" w:ascii="宋体" w:hAnsi="宋体"/>
          <w:color w:val="auto"/>
          <w:sz w:val="24"/>
          <w:szCs w:val="24"/>
          <w:highlight w:val="none"/>
        </w:rPr>
      </w:pPr>
    </w:p>
    <w:p w14:paraId="396E10E0">
      <w:pPr>
        <w:spacing w:before="120" w:after="120" w:line="600" w:lineRule="auto"/>
        <w:jc w:val="center"/>
        <w:rPr>
          <w:rFonts w:hint="eastAsia" w:ascii="黑体" w:hAnsi="黑体" w:eastAsia="黑体"/>
          <w:bCs/>
          <w:color w:val="auto"/>
          <w:sz w:val="36"/>
          <w:szCs w:val="24"/>
          <w:highlight w:val="none"/>
        </w:rPr>
      </w:pPr>
    </w:p>
    <w:p w14:paraId="7CD43564">
      <w:pPr>
        <w:spacing w:before="120" w:after="120" w:line="600" w:lineRule="auto"/>
        <w:jc w:val="center"/>
        <w:rPr>
          <w:rFonts w:hint="eastAsia" w:ascii="黑体" w:hAnsi="黑体" w:eastAsia="黑体"/>
          <w:bCs/>
          <w:color w:val="auto"/>
          <w:sz w:val="36"/>
          <w:szCs w:val="24"/>
          <w:highlight w:val="none"/>
          <w:lang w:eastAsia="zh-CN"/>
        </w:rPr>
      </w:pPr>
      <w:r>
        <w:rPr>
          <w:rFonts w:hint="eastAsia" w:ascii="黑体" w:hAnsi="黑体" w:eastAsia="黑体"/>
          <w:bCs/>
          <w:color w:val="auto"/>
          <w:sz w:val="36"/>
          <w:szCs w:val="24"/>
          <w:highlight w:val="none"/>
        </w:rPr>
        <w:t>采购单位：</w:t>
      </w:r>
      <w:r>
        <w:rPr>
          <w:rStyle w:val="323"/>
          <w:rFonts w:hint="eastAsia" w:ascii="黑体" w:hAnsi="黑体" w:eastAsia="黑体"/>
          <w:color w:val="auto"/>
          <w:sz w:val="36"/>
          <w:szCs w:val="30"/>
          <w:highlight w:val="none"/>
          <w:lang w:eastAsia="zh-CN"/>
        </w:rPr>
        <w:t>阜宁县沟墩中心卫生院</w:t>
      </w:r>
    </w:p>
    <w:p w14:paraId="4F4502C6">
      <w:pPr>
        <w:spacing w:before="120" w:after="120" w:line="600" w:lineRule="auto"/>
        <w:jc w:val="center"/>
        <w:rPr>
          <w:rFonts w:hint="eastAsia" w:ascii="黑体" w:hAnsi="黑体" w:eastAsia="黑体"/>
          <w:bCs/>
          <w:color w:val="auto"/>
          <w:sz w:val="36"/>
          <w:szCs w:val="24"/>
          <w:highlight w:val="none"/>
          <w:lang w:eastAsia="zh-CN"/>
        </w:rPr>
      </w:pPr>
      <w:r>
        <w:rPr>
          <w:rFonts w:hint="eastAsia" w:ascii="黑体" w:hAnsi="黑体" w:eastAsia="黑体"/>
          <w:bCs/>
          <w:color w:val="auto"/>
          <w:sz w:val="36"/>
          <w:szCs w:val="24"/>
          <w:highlight w:val="none"/>
          <w:lang w:eastAsia="zh-CN"/>
        </w:rPr>
        <w:t>2025年12月30日</w:t>
      </w:r>
    </w:p>
    <w:p w14:paraId="427C40CE">
      <w:pPr>
        <w:rPr>
          <w:color w:val="auto"/>
          <w:highlight w:val="none"/>
        </w:rPr>
      </w:pPr>
    </w:p>
    <w:p w14:paraId="2E887663">
      <w:pPr>
        <w:rPr>
          <w:color w:val="auto"/>
          <w:highlight w:val="none"/>
        </w:rPr>
      </w:pPr>
    </w:p>
    <w:p w14:paraId="7F10B28D">
      <w:pPr>
        <w:rPr>
          <w:color w:val="auto"/>
          <w:highlight w:val="none"/>
        </w:rPr>
      </w:pPr>
    </w:p>
    <w:p w14:paraId="308A53C6">
      <w:pPr>
        <w:jc w:val="center"/>
        <w:rPr>
          <w:rFonts w:ascii="黑体" w:hAnsi="Arial" w:eastAsia="黑体"/>
          <w:b/>
          <w:color w:val="auto"/>
          <w:sz w:val="44"/>
          <w:szCs w:val="21"/>
          <w:highlight w:val="none"/>
        </w:rPr>
      </w:pPr>
    </w:p>
    <w:p w14:paraId="68E91E9C">
      <w:pPr>
        <w:jc w:val="center"/>
        <w:rPr>
          <w:rFonts w:ascii="黑体" w:hAnsi="Arial" w:eastAsia="黑体"/>
          <w:color w:val="auto"/>
          <w:sz w:val="44"/>
          <w:szCs w:val="21"/>
          <w:highlight w:val="none"/>
        </w:rPr>
      </w:pPr>
      <w:r>
        <w:rPr>
          <w:rFonts w:hint="eastAsia" w:ascii="黑体" w:hAnsi="Arial" w:eastAsia="黑体"/>
          <w:color w:val="auto"/>
          <w:sz w:val="44"/>
          <w:szCs w:val="21"/>
          <w:highlight w:val="none"/>
        </w:rPr>
        <w:t>总  目  录</w:t>
      </w:r>
    </w:p>
    <w:p w14:paraId="5EE247EE">
      <w:pPr>
        <w:jc w:val="center"/>
        <w:rPr>
          <w:rFonts w:ascii="黑体" w:hAnsi="Arial" w:eastAsia="黑体"/>
          <w:b/>
          <w:color w:val="auto"/>
          <w:sz w:val="44"/>
          <w:szCs w:val="21"/>
          <w:highlight w:val="none"/>
        </w:rPr>
      </w:pPr>
    </w:p>
    <w:p w14:paraId="5F72E5E1">
      <w:pPr>
        <w:spacing w:line="480" w:lineRule="auto"/>
        <w:ind w:firstLine="720"/>
        <w:rPr>
          <w:rFonts w:hint="eastAsia" w:ascii="黑体" w:hAnsi="宋体" w:eastAsia="黑体"/>
          <w:color w:val="auto"/>
          <w:sz w:val="36"/>
          <w:szCs w:val="21"/>
          <w:highlight w:val="none"/>
        </w:rPr>
      </w:pPr>
      <w:r>
        <w:rPr>
          <w:rFonts w:hint="eastAsia" w:ascii="黑体" w:hAnsi="宋体" w:eastAsia="黑体"/>
          <w:color w:val="auto"/>
          <w:sz w:val="36"/>
          <w:szCs w:val="21"/>
          <w:highlight w:val="none"/>
        </w:rPr>
        <w:t>第一章  招标公告</w:t>
      </w:r>
    </w:p>
    <w:p w14:paraId="0C5CBB16">
      <w:pPr>
        <w:spacing w:line="480" w:lineRule="auto"/>
        <w:ind w:firstLine="720"/>
        <w:rPr>
          <w:rFonts w:hint="eastAsia" w:ascii="黑体" w:hAnsi="宋体" w:eastAsia="黑体"/>
          <w:color w:val="auto"/>
          <w:sz w:val="36"/>
          <w:szCs w:val="21"/>
          <w:highlight w:val="none"/>
        </w:rPr>
      </w:pPr>
      <w:r>
        <w:rPr>
          <w:rFonts w:hint="eastAsia" w:ascii="黑体" w:hAnsi="宋体" w:eastAsia="黑体"/>
          <w:color w:val="auto"/>
          <w:sz w:val="36"/>
          <w:szCs w:val="21"/>
          <w:highlight w:val="none"/>
        </w:rPr>
        <w:t xml:space="preserve">第二章  </w:t>
      </w:r>
      <w:r>
        <w:rPr>
          <w:rFonts w:hint="eastAsia" w:ascii="黑体" w:hAnsi="宋体" w:eastAsia="黑体"/>
          <w:bCs/>
          <w:color w:val="auto"/>
          <w:sz w:val="36"/>
          <w:szCs w:val="36"/>
          <w:highlight w:val="none"/>
        </w:rPr>
        <w:t>投标人须知</w:t>
      </w:r>
      <w:r>
        <w:rPr>
          <w:rFonts w:hint="eastAsia" w:ascii="黑体" w:hAnsi="Showcard Gothic" w:eastAsia="黑体"/>
          <w:color w:val="auto"/>
          <w:sz w:val="36"/>
          <w:szCs w:val="21"/>
          <w:highlight w:val="none"/>
        </w:rPr>
        <w:t xml:space="preserve"> </w:t>
      </w:r>
    </w:p>
    <w:p w14:paraId="0F2B7B2E">
      <w:pPr>
        <w:spacing w:line="480" w:lineRule="auto"/>
        <w:ind w:firstLine="720"/>
        <w:outlineLvl w:val="0"/>
        <w:rPr>
          <w:rFonts w:ascii="黑体" w:hAnsi="Showcard Gothic" w:eastAsia="黑体"/>
          <w:color w:val="auto"/>
          <w:sz w:val="36"/>
          <w:szCs w:val="21"/>
          <w:highlight w:val="none"/>
        </w:rPr>
      </w:pPr>
      <w:r>
        <w:rPr>
          <w:rFonts w:hint="eastAsia" w:ascii="黑体" w:hAnsi="宋体" w:eastAsia="黑体"/>
          <w:color w:val="auto"/>
          <w:sz w:val="36"/>
          <w:szCs w:val="21"/>
          <w:highlight w:val="none"/>
        </w:rPr>
        <w:t>第三章  合同文本</w:t>
      </w:r>
    </w:p>
    <w:p w14:paraId="7F2A6C42">
      <w:pPr>
        <w:spacing w:line="480" w:lineRule="auto"/>
        <w:ind w:firstLine="720"/>
        <w:rPr>
          <w:rFonts w:hint="eastAsia" w:ascii="黑体" w:hAnsi="宋体" w:eastAsia="黑体"/>
          <w:color w:val="auto"/>
          <w:sz w:val="36"/>
          <w:szCs w:val="21"/>
          <w:highlight w:val="none"/>
        </w:rPr>
      </w:pPr>
      <w:r>
        <w:rPr>
          <w:rFonts w:hint="eastAsia" w:ascii="黑体" w:hAnsi="宋体" w:eastAsia="黑体"/>
          <w:color w:val="auto"/>
          <w:sz w:val="36"/>
          <w:szCs w:val="21"/>
          <w:highlight w:val="none"/>
        </w:rPr>
        <w:t>第四章  采购需求</w:t>
      </w:r>
    </w:p>
    <w:p w14:paraId="0043B5E9">
      <w:pPr>
        <w:spacing w:line="480" w:lineRule="auto"/>
        <w:ind w:firstLine="720"/>
        <w:rPr>
          <w:rFonts w:hint="eastAsia" w:ascii="黑体" w:hAnsi="宋体" w:eastAsia="黑体"/>
          <w:bCs/>
          <w:color w:val="auto"/>
          <w:sz w:val="36"/>
          <w:szCs w:val="36"/>
          <w:highlight w:val="none"/>
        </w:rPr>
      </w:pPr>
      <w:r>
        <w:rPr>
          <w:rFonts w:hint="eastAsia" w:ascii="黑体" w:hAnsi="宋体" w:eastAsia="黑体"/>
          <w:color w:val="auto"/>
          <w:sz w:val="36"/>
          <w:szCs w:val="21"/>
          <w:highlight w:val="none"/>
        </w:rPr>
        <w:t xml:space="preserve">第五章  </w:t>
      </w:r>
      <w:r>
        <w:rPr>
          <w:rFonts w:hint="eastAsia" w:ascii="黑体" w:hAnsi="宋体" w:eastAsia="黑体"/>
          <w:bCs/>
          <w:color w:val="auto"/>
          <w:sz w:val="36"/>
          <w:szCs w:val="36"/>
          <w:highlight w:val="none"/>
        </w:rPr>
        <w:t>评标方法与评标标准</w:t>
      </w:r>
    </w:p>
    <w:p w14:paraId="4E9685AD">
      <w:pPr>
        <w:spacing w:line="480" w:lineRule="auto"/>
        <w:ind w:firstLine="720"/>
        <w:rPr>
          <w:rFonts w:hint="eastAsia" w:ascii="黑体" w:hAnsi="宋体" w:eastAsia="黑体"/>
          <w:color w:val="auto"/>
          <w:sz w:val="36"/>
          <w:szCs w:val="21"/>
          <w:highlight w:val="none"/>
        </w:rPr>
      </w:pPr>
      <w:r>
        <w:rPr>
          <w:rFonts w:hint="eastAsia" w:ascii="黑体" w:hAnsi="宋体" w:eastAsia="黑体"/>
          <w:bCs/>
          <w:color w:val="auto"/>
          <w:sz w:val="36"/>
          <w:szCs w:val="36"/>
          <w:highlight w:val="none"/>
        </w:rPr>
        <w:t xml:space="preserve">第六章  </w:t>
      </w:r>
      <w:r>
        <w:rPr>
          <w:rFonts w:hint="eastAsia" w:ascii="黑体" w:hAnsi="宋体" w:eastAsia="黑体"/>
          <w:color w:val="auto"/>
          <w:sz w:val="36"/>
          <w:szCs w:val="21"/>
          <w:highlight w:val="none"/>
        </w:rPr>
        <w:t>投标文件格式</w:t>
      </w:r>
    </w:p>
    <w:p w14:paraId="246017CF">
      <w:pPr>
        <w:spacing w:line="720" w:lineRule="auto"/>
        <w:ind w:firstLine="720"/>
        <w:rPr>
          <w:rFonts w:hint="eastAsia" w:ascii="黑体" w:hAnsi="宋体" w:eastAsia="黑体"/>
          <w:color w:val="auto"/>
          <w:sz w:val="36"/>
          <w:szCs w:val="21"/>
          <w:highlight w:val="none"/>
        </w:rPr>
      </w:pPr>
    </w:p>
    <w:p w14:paraId="799F2E32">
      <w:pPr>
        <w:spacing w:line="720" w:lineRule="auto"/>
        <w:ind w:firstLine="720"/>
        <w:rPr>
          <w:rFonts w:hint="eastAsia" w:ascii="黑体" w:hAnsi="宋体" w:eastAsia="黑体"/>
          <w:color w:val="auto"/>
          <w:sz w:val="36"/>
          <w:szCs w:val="21"/>
          <w:highlight w:val="none"/>
        </w:rPr>
      </w:pPr>
    </w:p>
    <w:p w14:paraId="041B6A50">
      <w:pPr>
        <w:keepNext/>
        <w:spacing w:line="360" w:lineRule="auto"/>
        <w:jc w:val="center"/>
        <w:outlineLvl w:val="0"/>
        <w:rPr>
          <w:rFonts w:ascii="黑体" w:eastAsia="黑体"/>
          <w:bCs/>
          <w:color w:val="auto"/>
          <w:sz w:val="44"/>
          <w:szCs w:val="44"/>
          <w:highlight w:val="none"/>
        </w:rPr>
      </w:pPr>
      <w:r>
        <w:rPr>
          <w:rFonts w:ascii="黑体" w:eastAsia="黑体"/>
          <w:color w:val="auto"/>
          <w:sz w:val="44"/>
          <w:szCs w:val="44"/>
          <w:highlight w:val="none"/>
        </w:rPr>
        <w:br w:type="page" w:clear="all"/>
      </w:r>
      <w:r>
        <w:rPr>
          <w:rFonts w:hint="eastAsia" w:ascii="黑体" w:eastAsia="黑体"/>
          <w:color w:val="auto"/>
          <w:sz w:val="44"/>
          <w:szCs w:val="44"/>
          <w:highlight w:val="none"/>
        </w:rPr>
        <w:t>第一章 招标公告</w:t>
      </w:r>
    </w:p>
    <w:p w14:paraId="77283765">
      <w:pPr>
        <w:pBdr>
          <w:top w:val="single" w:color="000000" w:sz="4" w:space="1"/>
          <w:left w:val="single" w:color="000000" w:sz="4" w:space="4"/>
          <w:bottom w:val="single" w:color="000000" w:sz="4" w:space="1"/>
          <w:right w:val="single" w:color="000000" w:sz="4" w:space="4"/>
        </w:pBdr>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项目概况</w:t>
      </w:r>
    </w:p>
    <w:p w14:paraId="3BBC2DBA">
      <w:pPr>
        <w:pBdr>
          <w:top w:val="single" w:color="000000" w:sz="4" w:space="1"/>
          <w:left w:val="single" w:color="000000" w:sz="4" w:space="4"/>
          <w:bottom w:val="single" w:color="000000" w:sz="4" w:space="1"/>
          <w:right w:val="single" w:color="000000" w:sz="4" w:space="4"/>
        </w:pBd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u w:val="single"/>
          <w:lang w:eastAsia="zh-CN"/>
        </w:rPr>
        <w:t>阜宁县沟墩中心卫生院CT维保项目</w:t>
      </w:r>
      <w:r>
        <w:rPr>
          <w:rFonts w:hint="eastAsia" w:ascii="宋体" w:hAnsi="宋体"/>
          <w:color w:val="auto"/>
          <w:sz w:val="24"/>
          <w:szCs w:val="24"/>
          <w:highlight w:val="none"/>
        </w:rPr>
        <w:t>招标项目的潜在投标人</w:t>
      </w:r>
      <w:r>
        <w:rPr>
          <w:rFonts w:hint="eastAsia" w:ascii="宋体" w:hAnsi="宋体"/>
          <w:color w:val="auto"/>
          <w:sz w:val="24"/>
          <w:szCs w:val="24"/>
          <w:highlight w:val="none"/>
          <w:lang w:val="en-US" w:eastAsia="zh-CN"/>
        </w:rPr>
        <w:t>应</w:t>
      </w:r>
      <w:r>
        <w:rPr>
          <w:rFonts w:hint="eastAsia" w:ascii="宋体" w:hAnsi="宋体"/>
          <w:color w:val="auto"/>
          <w:sz w:val="24"/>
          <w:szCs w:val="24"/>
          <w:highlight w:val="none"/>
        </w:rPr>
        <w:t>在“苏采云”系统内免费下载（投标人必须在苏采云系统中获取采购文件，方能参与政府采购项目），并于</w:t>
      </w:r>
      <w:r>
        <w:rPr>
          <w:rFonts w:hint="eastAsia" w:ascii="宋体" w:hAnsi="宋体"/>
          <w:color w:val="auto"/>
          <w:sz w:val="24"/>
          <w:szCs w:val="24"/>
          <w:highlight w:val="none"/>
          <w:u w:val="single"/>
          <w:lang w:eastAsia="zh-CN"/>
        </w:rPr>
        <w:t>2026年01月21日</w:t>
      </w:r>
      <w:r>
        <w:rPr>
          <w:rFonts w:hint="eastAsia" w:ascii="宋体" w:hAnsi="宋体"/>
          <w:bCs/>
          <w:color w:val="auto"/>
          <w:sz w:val="24"/>
          <w:szCs w:val="24"/>
          <w:highlight w:val="none"/>
          <w:u w:val="single"/>
          <w:lang w:val="en-US" w:eastAsia="zh-CN"/>
        </w:rPr>
        <w:t>09</w:t>
      </w:r>
      <w:r>
        <w:rPr>
          <w:rFonts w:hint="eastAsia" w:ascii="宋体" w:hAnsi="宋体"/>
          <w:bCs/>
          <w:color w:val="auto"/>
          <w:sz w:val="24"/>
          <w:szCs w:val="24"/>
          <w:highlight w:val="none"/>
          <w:u w:val="single"/>
        </w:rPr>
        <w:t>点00分（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672AB000">
      <w:pPr>
        <w:spacing w:line="450" w:lineRule="exact"/>
        <w:ind w:firstLine="480"/>
        <w:rPr>
          <w:rFonts w:hint="eastAsia" w:ascii="宋体" w:hAnsi="宋体"/>
          <w:b/>
          <w:color w:val="auto"/>
          <w:sz w:val="24"/>
          <w:szCs w:val="24"/>
          <w:highlight w:val="none"/>
        </w:rPr>
      </w:pPr>
      <w:bookmarkStart w:id="0" w:name="_Toc28359079"/>
      <w:bookmarkStart w:id="1" w:name="_Toc35393790"/>
      <w:bookmarkStart w:id="2" w:name="_Toc38985263"/>
      <w:bookmarkStart w:id="3" w:name="_Toc28359002"/>
      <w:bookmarkStart w:id="4" w:name="_Toc35393621"/>
      <w:bookmarkStart w:id="5" w:name="_Hlk24379207"/>
      <w:r>
        <w:rPr>
          <w:rFonts w:hint="eastAsia" w:ascii="宋体" w:hAnsi="宋体"/>
          <w:b/>
          <w:color w:val="auto"/>
          <w:sz w:val="24"/>
          <w:szCs w:val="24"/>
          <w:highlight w:val="none"/>
        </w:rPr>
        <w:t>一、项目基本情况</w:t>
      </w:r>
      <w:bookmarkEnd w:id="0"/>
      <w:bookmarkEnd w:id="1"/>
      <w:bookmarkEnd w:id="2"/>
      <w:bookmarkEnd w:id="3"/>
      <w:bookmarkEnd w:id="4"/>
    </w:p>
    <w:bookmarkEnd w:id="5"/>
    <w:p w14:paraId="1A3E8DD4">
      <w:pPr>
        <w:spacing w:line="450" w:lineRule="exact"/>
        <w:ind w:firstLine="480"/>
        <w:rPr>
          <w:rFonts w:hint="eastAsia" w:ascii="宋体" w:hAnsi="宋体" w:eastAsia="宋体"/>
          <w:color w:val="auto"/>
          <w:sz w:val="24"/>
          <w:szCs w:val="24"/>
          <w:highlight w:val="none"/>
          <w:lang w:eastAsia="zh-CN"/>
        </w:rPr>
      </w:pPr>
      <w:bookmarkStart w:id="6" w:name="_Toc35393791"/>
      <w:bookmarkStart w:id="7" w:name="_Toc28359080"/>
      <w:bookmarkStart w:id="8" w:name="_Toc28359003"/>
      <w:bookmarkStart w:id="9" w:name="_Toc38985264"/>
      <w:bookmarkStart w:id="10" w:name="_Toc35393622"/>
      <w:r>
        <w:rPr>
          <w:rFonts w:hint="eastAsia" w:ascii="宋体" w:hAnsi="宋体"/>
          <w:color w:val="auto"/>
          <w:sz w:val="24"/>
          <w:szCs w:val="24"/>
          <w:highlight w:val="none"/>
        </w:rPr>
        <w:t>1.项目编号：</w:t>
      </w:r>
      <w:r>
        <w:rPr>
          <w:rFonts w:hint="eastAsia" w:ascii="宋体" w:hAnsi="宋体"/>
          <w:color w:val="auto"/>
          <w:sz w:val="24"/>
          <w:szCs w:val="24"/>
          <w:highlight w:val="none"/>
          <w:lang w:eastAsia="zh-CN"/>
        </w:rPr>
        <w:t>JSZC-320923-SNST-G2025-0002</w:t>
      </w:r>
    </w:p>
    <w:p w14:paraId="7BBC1929">
      <w:pP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2.项目名称：阜宁县沟墩中心卫生院CT维保项目</w:t>
      </w:r>
      <w:r>
        <w:rPr>
          <w:rFonts w:hint="eastAsia" w:ascii="宋体" w:hAnsi="宋体"/>
          <w:color w:val="auto"/>
          <w:sz w:val="24"/>
          <w:szCs w:val="24"/>
          <w:highlight w:val="none"/>
        </w:rPr>
        <w:tab/>
      </w:r>
    </w:p>
    <w:p w14:paraId="620852E8">
      <w:pP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3.采购方式：公开招标</w:t>
      </w:r>
    </w:p>
    <w:p w14:paraId="19839360">
      <w:pP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4.预算金额：120万元</w:t>
      </w:r>
    </w:p>
    <w:p w14:paraId="23BD7327">
      <w:pP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5.最高限价：120万元</w:t>
      </w:r>
    </w:p>
    <w:p w14:paraId="2FA9842D">
      <w:pPr>
        <w:spacing w:line="450" w:lineRule="exact"/>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6.采购需求：</w:t>
      </w:r>
      <w:r>
        <w:rPr>
          <w:rFonts w:hint="eastAsia" w:ascii="宋体" w:hAnsi="宋体"/>
          <w:color w:val="auto"/>
          <w:sz w:val="24"/>
          <w:szCs w:val="24"/>
          <w:highlight w:val="none"/>
          <w:lang w:eastAsia="zh-CN"/>
        </w:rPr>
        <w:t>阜宁县沟墩中心卫生院CT维保项目，主要对东软CT设备进行系统的、全面的检测、维护及保养，以保证设备的高效、正常运作（详细内容见本招标文件第四章）。采购资金为国有资金，资金来源已经落实。</w:t>
      </w:r>
    </w:p>
    <w:p w14:paraId="22B6C96A">
      <w:pP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7.合同履行期限：五年（注：合同履行期内如甲方更换新设备，则维保服务自动终止，维保费用按实际服务时间计算）。</w:t>
      </w:r>
    </w:p>
    <w:p w14:paraId="6CB13F5C">
      <w:pP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8.服务地点：阜宁县沟墩中心卫生院。</w:t>
      </w:r>
    </w:p>
    <w:p w14:paraId="29D69C8E">
      <w:pP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9.服务质量：合格标准，符合相关国家标准及招标文件的要求。</w:t>
      </w:r>
    </w:p>
    <w:p w14:paraId="2F6865CE">
      <w:pPr>
        <w:spacing w:line="450" w:lineRule="exact"/>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rPr>
        <w:t>10.本项目（是/否）接受联合体：否。</w:t>
      </w:r>
    </w:p>
    <w:p w14:paraId="16AE1AF4">
      <w:pPr>
        <w:spacing w:line="45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二、申请人的资格要求：</w:t>
      </w:r>
      <w:bookmarkEnd w:id="6"/>
      <w:bookmarkEnd w:id="7"/>
      <w:bookmarkEnd w:id="8"/>
      <w:bookmarkEnd w:id="9"/>
      <w:bookmarkEnd w:id="10"/>
    </w:p>
    <w:p w14:paraId="4D7715DF">
      <w:pPr>
        <w:pStyle w:val="45"/>
        <w:spacing w:beforeAutospacing="0" w:afterAutospacing="0" w:line="436" w:lineRule="exact"/>
        <w:ind w:firstLine="480"/>
        <w:jc w:val="both"/>
        <w:rPr>
          <w:rFonts w:hint="eastAsia"/>
          <w:b/>
          <w:color w:val="auto"/>
          <w:highlight w:val="none"/>
        </w:rPr>
      </w:pPr>
      <w:bookmarkStart w:id="11" w:name="_Toc28359004"/>
      <w:bookmarkStart w:id="12" w:name="_Toc38985265"/>
      <w:bookmarkStart w:id="13" w:name="_Toc28359081"/>
      <w:bookmarkStart w:id="14" w:name="_Toc35393623"/>
      <w:bookmarkStart w:id="15" w:name="_Toc35393792"/>
      <w:r>
        <w:rPr>
          <w:rFonts w:hint="eastAsia"/>
          <w:b/>
          <w:color w:val="auto"/>
          <w:highlight w:val="none"/>
        </w:rPr>
        <w:t>（一）满足《中华人民共和国政府采购法》第二十二条规定：</w:t>
      </w:r>
    </w:p>
    <w:p w14:paraId="1072384D">
      <w:pP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1、满足《中华人民共和国政府采购法》第二十二条规定，并提供下列材料：</w:t>
      </w:r>
    </w:p>
    <w:p w14:paraId="4DDDE6ED">
      <w:pPr>
        <w:spacing w:line="450" w:lineRule="exact"/>
        <w:ind w:firstLine="480"/>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1.1 </w:t>
      </w:r>
      <w:bookmarkStart w:id="16" w:name="OLE_LINK4"/>
      <w:bookmarkStart w:id="17" w:name="OLE_LINK5"/>
      <w:r>
        <w:rPr>
          <w:rFonts w:hint="eastAsia" w:ascii="宋体" w:hAnsi="宋体"/>
          <w:color w:val="auto"/>
          <w:sz w:val="24"/>
          <w:szCs w:val="24"/>
          <w:highlight w:val="none"/>
        </w:rPr>
        <w:t>法人或者其他组织</w:t>
      </w:r>
      <w:r>
        <w:rPr>
          <w:rFonts w:hint="eastAsia" w:ascii="宋体" w:hAnsi="宋体" w:eastAsia="宋体" w:cs="Times New Roman"/>
          <w:color w:val="auto"/>
          <w:sz w:val="24"/>
          <w:szCs w:val="24"/>
          <w:highlight w:val="none"/>
        </w:rPr>
        <w:t>的营业执照等证明文件，自然人的身份证明</w:t>
      </w:r>
      <w:bookmarkEnd w:id="16"/>
      <w:bookmarkEnd w:id="17"/>
      <w:r>
        <w:rPr>
          <w:rFonts w:hint="eastAsia" w:ascii="宋体" w:hAnsi="宋体" w:eastAsia="宋体" w:cs="Times New Roman"/>
          <w:color w:val="auto"/>
          <w:sz w:val="24"/>
          <w:szCs w:val="24"/>
          <w:highlight w:val="none"/>
        </w:rPr>
        <w:t>；</w:t>
      </w:r>
    </w:p>
    <w:p w14:paraId="63D9A5C9">
      <w:pPr>
        <w:spacing w:line="45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w:t>
      </w:r>
      <w:bookmarkStart w:id="18" w:name="OLE_LINK6"/>
      <w:bookmarkStart w:id="19" w:name="OLE_LINK7"/>
      <w:bookmarkStart w:id="20" w:name="OLE_LINK9"/>
      <w:bookmarkStart w:id="21" w:name="OLE_LINK8"/>
      <w:r>
        <w:rPr>
          <w:rFonts w:hint="eastAsia" w:ascii="宋体" w:hAnsi="宋体" w:cs="Times New Roman"/>
          <w:color w:val="auto"/>
          <w:sz w:val="24"/>
          <w:szCs w:val="24"/>
          <w:highlight w:val="none"/>
          <w:lang w:eastAsia="zh-CN"/>
        </w:rPr>
        <w:t>上一年度（2024年度）</w:t>
      </w:r>
      <w:r>
        <w:rPr>
          <w:rFonts w:hint="eastAsia" w:ascii="宋体" w:hAnsi="宋体" w:eastAsia="宋体" w:cs="Times New Roman"/>
          <w:color w:val="auto"/>
          <w:sz w:val="24"/>
          <w:szCs w:val="24"/>
          <w:highlight w:val="none"/>
        </w:rPr>
        <w:t>的财务状况报告（财务报告至少应包括资产负债表、利润表</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距投标截止之日止，成立不满一年的</w:t>
      </w:r>
      <w:r>
        <w:rPr>
          <w:rFonts w:hint="eastAsia" w:ascii="宋体" w:hAnsi="宋体" w:cs="Times New Roman"/>
          <w:color w:val="auto"/>
          <w:sz w:val="24"/>
          <w:szCs w:val="24"/>
          <w:highlight w:val="none"/>
          <w:lang w:eastAsia="zh-CN"/>
        </w:rPr>
        <w:t>投标人</w:t>
      </w:r>
      <w:r>
        <w:rPr>
          <w:rFonts w:hint="eastAsia" w:ascii="宋体" w:hAnsi="宋体" w:eastAsia="宋体" w:cs="Times New Roman"/>
          <w:color w:val="auto"/>
          <w:sz w:val="24"/>
          <w:szCs w:val="24"/>
          <w:highlight w:val="none"/>
        </w:rPr>
        <w:t>无需提供）；</w:t>
      </w:r>
      <w:bookmarkEnd w:id="18"/>
      <w:bookmarkEnd w:id="19"/>
      <w:bookmarkEnd w:id="20"/>
      <w:bookmarkEnd w:id="21"/>
    </w:p>
    <w:p w14:paraId="5F81C2DC">
      <w:pP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1.3</w:t>
      </w:r>
      <w:bookmarkStart w:id="22" w:name="OLE_LINK11"/>
      <w:bookmarkStart w:id="23" w:name="OLE_LINK10"/>
      <w:r>
        <w:rPr>
          <w:rFonts w:hint="eastAsia" w:ascii="宋体" w:hAnsi="宋体"/>
          <w:color w:val="auto"/>
          <w:sz w:val="24"/>
          <w:szCs w:val="24"/>
          <w:highlight w:val="none"/>
        </w:rPr>
        <w:t>具备履行合同所必需的设备和专业技术能力的书面声明</w:t>
      </w:r>
      <w:bookmarkEnd w:id="22"/>
      <w:bookmarkEnd w:id="23"/>
      <w:r>
        <w:rPr>
          <w:rFonts w:hint="eastAsia" w:ascii="宋体" w:hAnsi="宋体"/>
          <w:color w:val="auto"/>
          <w:sz w:val="24"/>
          <w:szCs w:val="24"/>
          <w:highlight w:val="none"/>
        </w:rPr>
        <w:t>；</w:t>
      </w:r>
    </w:p>
    <w:p w14:paraId="35B86EA2">
      <w:pP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1.4</w:t>
      </w:r>
      <w:bookmarkStart w:id="24" w:name="OLE_LINK13"/>
      <w:bookmarkStart w:id="25" w:name="OLE_LINK12"/>
      <w:r>
        <w:rPr>
          <w:rFonts w:hint="eastAsia" w:ascii="宋体" w:hAnsi="宋体"/>
          <w:color w:val="auto"/>
          <w:sz w:val="24"/>
          <w:szCs w:val="24"/>
          <w:highlight w:val="none"/>
        </w:rPr>
        <w:t>依法缴纳税收和社会保障资金的相关材料（提供提交响应文件截止时间前一年内至少一个月依法缴纳税收及缴纳社会保障资金的证明材料。</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依法享受缓缴、免缴税收、社会保障资金的提供证明材料。）；</w:t>
      </w:r>
      <w:bookmarkEnd w:id="24"/>
      <w:bookmarkEnd w:id="25"/>
    </w:p>
    <w:p w14:paraId="1B90267B">
      <w:pP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1.5参加政府采购活动前3年内在经营活动中没有重大违法记录的书面声明；</w:t>
      </w:r>
    </w:p>
    <w:p w14:paraId="77B06C45">
      <w:pP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1.6法律、行政法规规定的其他条件；</w:t>
      </w:r>
    </w:p>
    <w:p w14:paraId="68721EA0">
      <w:pP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6785555C">
      <w:pP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1.8单位负责人为同一人或者存在直接控股、管理关系的不同</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，不得参加同一合同项下的政府采购活动。</w:t>
      </w:r>
    </w:p>
    <w:p w14:paraId="68506E0A">
      <w:pPr>
        <w:spacing w:line="450" w:lineRule="exact"/>
        <w:ind w:firstLine="480"/>
        <w:rPr>
          <w:rFonts w:hint="eastAsia" w:ascii="宋体" w:hAnsi="宋体"/>
          <w:b w:val="0"/>
          <w:bCs w:val="0"/>
          <w:color w:val="auto"/>
          <w:sz w:val="24"/>
          <w:szCs w:val="24"/>
          <w:highlight w:val="none"/>
        </w:rPr>
      </w:pPr>
      <w:r>
        <w:rPr>
          <w:rFonts w:hint="eastAsia" w:ascii="宋体" w:hAnsi="宋体"/>
          <w:b/>
          <w:bCs/>
          <w:color w:val="auto"/>
          <w:sz w:val="24"/>
          <w:szCs w:val="24"/>
          <w:highlight w:val="none"/>
        </w:rPr>
        <w:t>（二）落实政府采购政策需满足的资格要求：</w:t>
      </w:r>
      <w:r>
        <w:rPr>
          <w:rFonts w:hint="eastAsia" w:ascii="宋体" w:hAnsi="宋体"/>
          <w:b w:val="0"/>
          <w:bCs w:val="0"/>
          <w:color w:val="auto"/>
          <w:sz w:val="24"/>
          <w:szCs w:val="24"/>
          <w:highlight w:val="none"/>
        </w:rPr>
        <w:t>本项目专门面向中小企业采购，只接受中小微企业投标，响应文件中提供《中小企业声明函》并加盖公章。</w:t>
      </w:r>
    </w:p>
    <w:p w14:paraId="0A18824F">
      <w:pPr>
        <w:spacing w:line="450" w:lineRule="exact"/>
        <w:ind w:firstLine="480"/>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特别说明：</w:t>
      </w:r>
      <w:r>
        <w:rPr>
          <w:rFonts w:hint="eastAsia" w:ascii="宋体" w:hAnsi="宋体"/>
          <w:b w:val="0"/>
          <w:bCs w:val="0"/>
          <w:color w:val="auto"/>
          <w:sz w:val="24"/>
          <w:szCs w:val="24"/>
          <w:highlight w:val="none"/>
          <w:lang w:eastAsia="zh-CN"/>
        </w:rPr>
        <w:t>投标人</w:t>
      </w:r>
      <w:r>
        <w:rPr>
          <w:rFonts w:hint="eastAsia" w:ascii="宋体" w:hAnsi="宋体"/>
          <w:b w:val="0"/>
          <w:bCs w:val="0"/>
          <w:color w:val="auto"/>
          <w:sz w:val="24"/>
          <w:szCs w:val="24"/>
          <w:highlight w:val="none"/>
        </w:rPr>
        <w:t>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w:t>
      </w:r>
      <w:r>
        <w:rPr>
          <w:rFonts w:hint="eastAsia" w:ascii="宋体" w:hAnsi="宋体"/>
          <w:b w:val="0"/>
          <w:bCs w:val="0"/>
          <w:color w:val="auto"/>
          <w:sz w:val="24"/>
          <w:szCs w:val="24"/>
          <w:highlight w:val="none"/>
          <w:lang w:eastAsia="zh-CN"/>
        </w:rPr>
        <w:t>投标人</w:t>
      </w:r>
      <w:r>
        <w:rPr>
          <w:rFonts w:hint="eastAsia" w:ascii="宋体" w:hAnsi="宋体"/>
          <w:b w:val="0"/>
          <w:bCs w:val="0"/>
          <w:color w:val="auto"/>
          <w:sz w:val="24"/>
          <w:szCs w:val="24"/>
          <w:highlight w:val="none"/>
        </w:rPr>
        <w:t>予以关注。</w:t>
      </w:r>
    </w:p>
    <w:p w14:paraId="04B88E0A">
      <w:pPr>
        <w:spacing w:line="450" w:lineRule="exact"/>
        <w:ind w:firstLine="480"/>
        <w:rPr>
          <w:rFonts w:hint="eastAsia" w:ascii="宋体" w:hAnsi="宋体"/>
          <w:b w:val="0"/>
          <w:bCs/>
          <w:color w:val="auto"/>
          <w:sz w:val="24"/>
          <w:szCs w:val="24"/>
          <w:highlight w:val="none"/>
          <w:lang w:eastAsia="zh-CN"/>
        </w:rPr>
      </w:pPr>
      <w:r>
        <w:rPr>
          <w:rFonts w:hint="eastAsia" w:ascii="宋体" w:hAnsi="宋体"/>
          <w:b/>
          <w:bCs/>
          <w:color w:val="auto"/>
          <w:sz w:val="24"/>
          <w:szCs w:val="24"/>
          <w:highlight w:val="none"/>
        </w:rPr>
        <w:t>（三）本项目的特定资格要求：</w:t>
      </w:r>
      <w:bookmarkEnd w:id="11"/>
      <w:bookmarkEnd w:id="12"/>
      <w:bookmarkEnd w:id="13"/>
      <w:bookmarkEnd w:id="14"/>
      <w:bookmarkEnd w:id="15"/>
      <w:bookmarkStart w:id="26" w:name="_Toc28359082"/>
      <w:bookmarkStart w:id="27" w:name="_Toc28359005"/>
      <w:bookmarkStart w:id="28" w:name="_Toc38985266"/>
      <w:bookmarkStart w:id="29" w:name="_Toc35393624"/>
      <w:bookmarkStart w:id="30" w:name="_Toc35393793"/>
      <w:r>
        <w:rPr>
          <w:rFonts w:hint="eastAsia" w:ascii="宋体" w:hAnsi="宋体"/>
          <w:b w:val="0"/>
          <w:bCs/>
          <w:color w:val="auto"/>
          <w:sz w:val="24"/>
          <w:szCs w:val="24"/>
          <w:highlight w:val="none"/>
          <w:lang w:eastAsia="zh-CN"/>
        </w:rPr>
        <w:t>投标人或授权单位具备《辐射安全许可证》</w:t>
      </w:r>
      <w:r>
        <w:rPr>
          <w:rFonts w:hint="eastAsia" w:ascii="宋体" w:hAnsi="宋体"/>
          <w:b w:val="0"/>
          <w:bCs/>
          <w:color w:val="auto"/>
          <w:sz w:val="24"/>
          <w:szCs w:val="24"/>
          <w:highlight w:val="none"/>
          <w:u w:val="none"/>
          <w:lang w:eastAsia="zh-CN"/>
        </w:rPr>
        <w:t>，</w:t>
      </w:r>
      <w:r>
        <w:rPr>
          <w:rFonts w:hint="eastAsia" w:ascii="宋体" w:hAnsi="宋体"/>
          <w:b w:val="0"/>
          <w:bCs/>
          <w:color w:val="auto"/>
          <w:sz w:val="24"/>
          <w:szCs w:val="24"/>
          <w:highlight w:val="none"/>
          <w:lang w:eastAsia="zh-CN"/>
        </w:rPr>
        <w:t>以证明更换的X线类备件具备销售资质且符合辐射安全许可的规定。</w:t>
      </w:r>
    </w:p>
    <w:p w14:paraId="5DFC357F">
      <w:pPr>
        <w:spacing w:line="45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三、获取招标文件</w:t>
      </w:r>
    </w:p>
    <w:p w14:paraId="22BA10E3">
      <w:pPr>
        <w:spacing w:line="45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1.时间：自招标文件公告发布之日起5个工作日 。</w:t>
      </w:r>
    </w:p>
    <w:p w14:paraId="33683C04">
      <w:pPr>
        <w:spacing w:line="450" w:lineRule="exact"/>
        <w:ind w:firstLine="48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2.地点：</w:t>
      </w:r>
      <w:r>
        <w:rPr>
          <w:rFonts w:hint="eastAsia" w:ascii="宋体" w:hAnsi="宋体"/>
          <w:bCs/>
          <w:color w:val="auto"/>
          <w:sz w:val="24"/>
          <w:szCs w:val="24"/>
          <w:highlight w:val="none"/>
          <w:lang w:val="en-US" w:eastAsia="zh-CN"/>
        </w:rPr>
        <w:t>在</w:t>
      </w:r>
      <w:r>
        <w:rPr>
          <w:rFonts w:hint="eastAsia" w:ascii="宋体" w:hAnsi="宋体"/>
          <w:bCs/>
          <w:color w:val="auto"/>
          <w:sz w:val="24"/>
          <w:szCs w:val="24"/>
          <w:highlight w:val="none"/>
        </w:rPr>
        <w:t>“苏采云”系统内免费下载(投标人必须在苏采云系统中获取采购文件，方能参与政府采购项目)</w:t>
      </w:r>
      <w:r>
        <w:rPr>
          <w:rFonts w:hint="eastAsia" w:ascii="宋体" w:hAnsi="宋体"/>
          <w:bCs/>
          <w:color w:val="auto"/>
          <w:sz w:val="24"/>
          <w:szCs w:val="24"/>
          <w:highlight w:val="none"/>
          <w:lang w:eastAsia="zh-CN"/>
        </w:rPr>
        <w:t>。</w:t>
      </w:r>
    </w:p>
    <w:p w14:paraId="5313D40D">
      <w:pPr>
        <w:pStyle w:val="45"/>
        <w:spacing w:beforeAutospacing="0" w:afterAutospacing="0" w:line="440" w:lineRule="exact"/>
        <w:ind w:firstLine="480"/>
        <w:jc w:val="both"/>
        <w:rPr>
          <w:rFonts w:hint="eastAsia"/>
          <w:color w:val="auto"/>
          <w:highlight w:val="none"/>
        </w:rPr>
      </w:pPr>
      <w:r>
        <w:rPr>
          <w:rFonts w:hint="eastAsia"/>
          <w:bCs/>
          <w:color w:val="auto"/>
          <w:highlight w:val="none"/>
        </w:rPr>
        <w:t>3.方式：</w:t>
      </w:r>
      <w:r>
        <w:rPr>
          <w:rFonts w:hint="eastAsia"/>
          <w:bCs/>
          <w:color w:val="auto"/>
          <w:highlight w:val="none"/>
          <w:lang w:val="en-US" w:eastAsia="zh-CN"/>
        </w:rPr>
        <w:t>本项目采用网上注册登记方式。</w:t>
      </w:r>
    </w:p>
    <w:p w14:paraId="01857330">
      <w:pPr>
        <w:spacing w:line="45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4.售价：0元</w:t>
      </w:r>
    </w:p>
    <w:p w14:paraId="29A8268B">
      <w:pPr>
        <w:spacing w:line="45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四、提交投标文件</w:t>
      </w:r>
      <w:bookmarkEnd w:id="26"/>
      <w:bookmarkEnd w:id="27"/>
      <w:r>
        <w:rPr>
          <w:rFonts w:hint="eastAsia" w:ascii="宋体" w:hAnsi="宋体"/>
          <w:b/>
          <w:color w:val="auto"/>
          <w:sz w:val="24"/>
          <w:szCs w:val="24"/>
          <w:highlight w:val="none"/>
        </w:rPr>
        <w:t>截止时间、开标时间和地点</w:t>
      </w:r>
      <w:bookmarkEnd w:id="28"/>
      <w:bookmarkEnd w:id="29"/>
      <w:bookmarkEnd w:id="30"/>
    </w:p>
    <w:p w14:paraId="18873036">
      <w:pP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1、时间：</w:t>
      </w:r>
      <w:r>
        <w:rPr>
          <w:rFonts w:hint="eastAsia" w:ascii="宋体" w:hAnsi="宋体"/>
          <w:color w:val="auto"/>
          <w:sz w:val="24"/>
          <w:szCs w:val="24"/>
          <w:highlight w:val="none"/>
          <w:lang w:eastAsia="zh-CN"/>
        </w:rPr>
        <w:t>2026年01月21日</w:t>
      </w:r>
      <w:r>
        <w:rPr>
          <w:rFonts w:hint="eastAsia" w:ascii="宋体" w:hAnsi="宋体"/>
          <w:color w:val="auto"/>
          <w:sz w:val="24"/>
          <w:szCs w:val="24"/>
          <w:highlight w:val="none"/>
          <w:lang w:val="en-US" w:eastAsia="zh-CN"/>
        </w:rPr>
        <w:t>09</w:t>
      </w:r>
      <w:r>
        <w:rPr>
          <w:rFonts w:hint="eastAsia" w:ascii="宋体" w:hAnsi="宋体"/>
          <w:color w:val="auto"/>
          <w:sz w:val="24"/>
          <w:szCs w:val="24"/>
          <w:highlight w:val="none"/>
        </w:rPr>
        <w:t>点00分（北京时间）</w:t>
      </w:r>
    </w:p>
    <w:p w14:paraId="3CCB8E33">
      <w:pPr>
        <w:spacing w:line="45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2、地点：“苏采云”政府采购交易系统网上开标大厅。</w:t>
      </w:r>
    </w:p>
    <w:p w14:paraId="7388D762">
      <w:pPr>
        <w:spacing w:line="450" w:lineRule="exact"/>
        <w:ind w:firstLine="480"/>
        <w:rPr>
          <w:rFonts w:hint="eastAsia" w:ascii="宋体" w:hAnsi="宋体"/>
          <w:b/>
          <w:color w:val="auto"/>
          <w:sz w:val="24"/>
          <w:szCs w:val="24"/>
          <w:highlight w:val="none"/>
        </w:rPr>
      </w:pPr>
      <w:bookmarkStart w:id="31" w:name="_Toc28359084"/>
      <w:bookmarkStart w:id="32" w:name="_Toc35393794"/>
      <w:bookmarkStart w:id="33" w:name="_Toc28359007"/>
      <w:bookmarkStart w:id="34" w:name="_Toc38985267"/>
      <w:bookmarkStart w:id="35" w:name="_Toc35393625"/>
      <w:r>
        <w:rPr>
          <w:rFonts w:hint="eastAsia" w:ascii="宋体" w:hAnsi="宋体"/>
          <w:b/>
          <w:color w:val="auto"/>
          <w:sz w:val="24"/>
          <w:szCs w:val="24"/>
          <w:highlight w:val="none"/>
        </w:rPr>
        <w:t>五、公告期限</w:t>
      </w:r>
      <w:bookmarkEnd w:id="31"/>
      <w:bookmarkEnd w:id="32"/>
      <w:bookmarkEnd w:id="33"/>
      <w:bookmarkEnd w:id="34"/>
      <w:bookmarkEnd w:id="35"/>
    </w:p>
    <w:p w14:paraId="56E7588F">
      <w:pPr>
        <w:spacing w:line="450" w:lineRule="exact"/>
        <w:ind w:firstLine="480"/>
        <w:rPr>
          <w:rFonts w:hint="eastAsia" w:ascii="宋体" w:hAnsi="宋体"/>
          <w:color w:val="auto"/>
          <w:sz w:val="24"/>
          <w:szCs w:val="24"/>
          <w:highlight w:val="none"/>
        </w:rPr>
      </w:pPr>
      <w:bookmarkStart w:id="36" w:name="_Toc38985268"/>
      <w:bookmarkStart w:id="37" w:name="_Toc35393626"/>
      <w:bookmarkStart w:id="38" w:name="_Toc35393795"/>
      <w:r>
        <w:rPr>
          <w:rFonts w:hint="eastAsia" w:ascii="宋体" w:hAnsi="宋体"/>
          <w:color w:val="auto"/>
          <w:sz w:val="24"/>
          <w:szCs w:val="24"/>
          <w:highlight w:val="none"/>
        </w:rPr>
        <w:t>自本公告发布之日起5个工作日。</w:t>
      </w:r>
    </w:p>
    <w:p w14:paraId="30AB5C28">
      <w:pPr>
        <w:spacing w:line="45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六、其他补充事宜</w:t>
      </w:r>
      <w:bookmarkEnd w:id="36"/>
      <w:bookmarkEnd w:id="37"/>
      <w:bookmarkEnd w:id="38"/>
    </w:p>
    <w:p w14:paraId="297C9D71">
      <w:pPr>
        <w:spacing w:line="450" w:lineRule="exact"/>
        <w:ind w:firstLine="480"/>
        <w:rPr>
          <w:rFonts w:hint="eastAsia" w:ascii="宋体" w:hAnsi="宋体"/>
          <w:bCs/>
          <w:color w:val="auto"/>
          <w:sz w:val="24"/>
          <w:szCs w:val="24"/>
          <w:highlight w:val="none"/>
        </w:rPr>
      </w:pPr>
      <w:bookmarkStart w:id="39" w:name="_Toc35393796"/>
      <w:bookmarkStart w:id="40" w:name="_Toc38985269"/>
      <w:bookmarkStart w:id="41" w:name="_Toc28359085"/>
      <w:bookmarkStart w:id="42" w:name="_Toc35393627"/>
      <w:bookmarkStart w:id="43" w:name="_Toc28359008"/>
      <w:r>
        <w:rPr>
          <w:rFonts w:hint="eastAsia" w:ascii="宋体" w:hAnsi="宋体"/>
          <w:bCs/>
          <w:color w:val="auto"/>
          <w:sz w:val="24"/>
          <w:szCs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参与政府采购活动相关资料】。</w:t>
      </w:r>
    </w:p>
    <w:p w14:paraId="19D0C450">
      <w:pPr>
        <w:spacing w:line="45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领取CA和办理电子签章（请至亭湖区政务服务中心二楼226窗口办理，联系电话：15051556883，办理邮箱：yancheng@ideabank.net.cn，具体联系方式见《苏采云系统</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操作手册》（以下简称《操作手册》））、进行注册并按《操作手册》要求制作、上传电子投标文件,《苏采云系统</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操作手册》：在盐城市政府采购网点击【办事指南】-【</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参与政府采购活动相关资料】。</w:t>
      </w:r>
    </w:p>
    <w:p w14:paraId="70434DAA">
      <w:pPr>
        <w:spacing w:line="45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投标人在使用系统进行投标的过程中如遇到涉及“苏采云”系统使用的任何问题，应在工作日期间致电技术支持热线咨询，联系电话：0519-86722805、0519-86722801。</w:t>
      </w:r>
    </w:p>
    <w:p w14:paraId="1182F370">
      <w:pPr>
        <w:spacing w:line="45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2.有关本次招标的事项若存在变动或修改，敬请及时关注采购人及采购代理机构在“中国政府采购网”、“江苏政府采购网”、“盐城市政府采购网”、“阜宁县公共资源电子化服务平台”发布的更正公告。</w:t>
      </w:r>
    </w:p>
    <w:p w14:paraId="3B35F21E">
      <w:pPr>
        <w:spacing w:line="45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3.本次招标不收取投标保证金，不收取质量保证金。</w:t>
      </w:r>
    </w:p>
    <w:p w14:paraId="4A8C49C2">
      <w:pPr>
        <w:spacing w:line="45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4.因</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的系统环境、操作等原因导致报名、开评标过程中出现问题由</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自行承担负责。</w:t>
      </w:r>
    </w:p>
    <w:p w14:paraId="50452203">
      <w:pPr>
        <w:spacing w:line="450" w:lineRule="exact"/>
        <w:ind w:firstLine="480"/>
        <w:rPr>
          <w:rFonts w:hint="eastAsia" w:ascii="宋体" w:hAnsi="宋体" w:eastAsia="宋体" w:cs="Times New Roman"/>
          <w:bCs/>
          <w:color w:val="auto"/>
          <w:sz w:val="24"/>
          <w:szCs w:val="24"/>
          <w:highlight w:val="none"/>
        </w:rPr>
      </w:pPr>
      <w:r>
        <w:rPr>
          <w:rFonts w:hint="eastAsia" w:ascii="宋体" w:hAnsi="宋体"/>
          <w:b/>
          <w:color w:val="auto"/>
          <w:sz w:val="24"/>
          <w:szCs w:val="24"/>
          <w:highlight w:val="none"/>
        </w:rPr>
        <w:t>七、本次招标联系方式</w:t>
      </w:r>
      <w:bookmarkEnd w:id="39"/>
      <w:bookmarkEnd w:id="40"/>
      <w:bookmarkEnd w:id="41"/>
      <w:bookmarkEnd w:id="42"/>
      <w:bookmarkEnd w:id="43"/>
    </w:p>
    <w:p w14:paraId="00CA27F9">
      <w:pPr>
        <w:spacing w:line="450" w:lineRule="exact"/>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1、采购人信息</w:t>
      </w:r>
    </w:p>
    <w:p w14:paraId="1A79C5D0">
      <w:pPr>
        <w:spacing w:line="450" w:lineRule="exact"/>
        <w:ind w:firstLine="480"/>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名 称：</w:t>
      </w:r>
      <w:r>
        <w:rPr>
          <w:rFonts w:hint="eastAsia" w:ascii="宋体" w:hAnsi="宋体" w:cs="Times New Roman"/>
          <w:bCs/>
          <w:color w:val="auto"/>
          <w:sz w:val="24"/>
          <w:szCs w:val="24"/>
          <w:highlight w:val="none"/>
          <w:lang w:eastAsia="zh-CN"/>
        </w:rPr>
        <w:t>阜宁县沟墩中心卫生院</w:t>
      </w:r>
    </w:p>
    <w:p w14:paraId="48031A6B">
      <w:pPr>
        <w:spacing w:line="450" w:lineRule="exact"/>
        <w:ind w:firstLine="480"/>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地址：</w:t>
      </w:r>
      <w:r>
        <w:rPr>
          <w:rFonts w:hint="eastAsia" w:ascii="宋体" w:hAnsi="宋体" w:cs="Times New Roman"/>
          <w:bCs/>
          <w:color w:val="auto"/>
          <w:sz w:val="24"/>
          <w:szCs w:val="24"/>
          <w:highlight w:val="none"/>
          <w:lang w:eastAsia="zh-CN"/>
        </w:rPr>
        <w:t>阜宁县沟墩镇北街6号</w:t>
      </w:r>
    </w:p>
    <w:p w14:paraId="5F1B5E9C">
      <w:pPr>
        <w:spacing w:line="450" w:lineRule="exact"/>
        <w:ind w:firstLine="480"/>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联系方式：</w:t>
      </w:r>
      <w:r>
        <w:rPr>
          <w:rFonts w:hint="eastAsia" w:ascii="宋体" w:hAnsi="宋体" w:cs="Times New Roman"/>
          <w:bCs/>
          <w:color w:val="auto"/>
          <w:sz w:val="24"/>
          <w:szCs w:val="24"/>
          <w:highlight w:val="none"/>
          <w:lang w:val="en-US" w:eastAsia="zh-CN"/>
        </w:rPr>
        <w:t>李院长</w:t>
      </w:r>
      <w:r>
        <w:rPr>
          <w:rFonts w:hint="eastAsia" w:ascii="宋体" w:hAnsi="宋体" w:eastAsia="宋体" w:cs="Times New Roman"/>
          <w:bCs/>
          <w:color w:val="auto"/>
          <w:sz w:val="24"/>
          <w:szCs w:val="24"/>
          <w:highlight w:val="none"/>
        </w:rPr>
        <w:t>，</w:t>
      </w:r>
      <w:r>
        <w:rPr>
          <w:rFonts w:hint="eastAsia" w:ascii="宋体" w:hAnsi="宋体" w:cs="Times New Roman"/>
          <w:bCs/>
          <w:color w:val="auto"/>
          <w:sz w:val="24"/>
          <w:szCs w:val="24"/>
          <w:highlight w:val="none"/>
          <w:lang w:eastAsia="zh-CN"/>
        </w:rPr>
        <w:t>13805104228</w:t>
      </w:r>
    </w:p>
    <w:p w14:paraId="71D935C8">
      <w:pPr>
        <w:spacing w:line="450" w:lineRule="exact"/>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2、采购代理机构信息</w:t>
      </w:r>
    </w:p>
    <w:p w14:paraId="7DBDAA84">
      <w:pPr>
        <w:spacing w:line="450" w:lineRule="exact"/>
        <w:ind w:firstLine="480"/>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名 称：</w:t>
      </w:r>
      <w:r>
        <w:rPr>
          <w:rFonts w:hint="eastAsia" w:ascii="宋体" w:hAnsi="宋体" w:cs="Times New Roman"/>
          <w:bCs/>
          <w:color w:val="auto"/>
          <w:sz w:val="24"/>
          <w:szCs w:val="24"/>
          <w:highlight w:val="none"/>
          <w:lang w:eastAsia="zh-CN"/>
        </w:rPr>
        <w:t>盐城纳斯特项目管理有限公司</w:t>
      </w:r>
    </w:p>
    <w:p w14:paraId="10AE9C94">
      <w:pPr>
        <w:spacing w:line="450" w:lineRule="exact"/>
        <w:ind w:firstLine="480"/>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地 址：</w:t>
      </w:r>
      <w:r>
        <w:rPr>
          <w:rFonts w:hint="eastAsia" w:ascii="宋体" w:hAnsi="宋体" w:cs="Times New Roman"/>
          <w:bCs/>
          <w:color w:val="auto"/>
          <w:sz w:val="24"/>
          <w:szCs w:val="24"/>
          <w:highlight w:val="none"/>
          <w:lang w:eastAsia="zh-CN"/>
        </w:rPr>
        <w:t>阜宁县御景濠庭面东门市（天津路370号）</w:t>
      </w:r>
    </w:p>
    <w:p w14:paraId="7C21139F">
      <w:pPr>
        <w:spacing w:line="450" w:lineRule="exact"/>
        <w:ind w:firstLine="480"/>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联系方式</w:t>
      </w:r>
      <w:r>
        <w:rPr>
          <w:rFonts w:hint="eastAsia" w:ascii="宋体" w:hAnsi="宋体" w:eastAsia="宋体" w:cs="Times New Roman"/>
          <w:bCs/>
          <w:color w:val="auto"/>
          <w:sz w:val="24"/>
          <w:szCs w:val="24"/>
          <w:highlight w:val="none"/>
          <w:lang w:eastAsia="zh-CN"/>
        </w:rPr>
        <w:t>：</w:t>
      </w:r>
      <w:r>
        <w:rPr>
          <w:rFonts w:hint="eastAsia" w:ascii="宋体" w:hAnsi="宋体" w:cs="Times New Roman"/>
          <w:bCs/>
          <w:color w:val="auto"/>
          <w:sz w:val="24"/>
          <w:szCs w:val="24"/>
          <w:highlight w:val="none"/>
          <w:lang w:eastAsia="zh-CN"/>
        </w:rPr>
        <w:t>孙工，</w:t>
      </w:r>
      <w:r>
        <w:rPr>
          <w:rFonts w:hint="eastAsia" w:ascii="宋体" w:hAnsi="宋体" w:cs="Times New Roman"/>
          <w:bCs/>
          <w:color w:val="auto"/>
          <w:sz w:val="24"/>
          <w:szCs w:val="24"/>
          <w:highlight w:val="none"/>
          <w:lang w:val="en-US" w:eastAsia="zh-CN"/>
        </w:rPr>
        <w:t>18361172266</w:t>
      </w:r>
    </w:p>
    <w:p w14:paraId="05A29F04">
      <w:pPr>
        <w:spacing w:line="450" w:lineRule="exact"/>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3、项目联系方式</w:t>
      </w:r>
    </w:p>
    <w:p w14:paraId="67692087">
      <w:pPr>
        <w:spacing w:line="450" w:lineRule="exact"/>
        <w:ind w:firstLine="48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项目联系人：</w:t>
      </w:r>
      <w:r>
        <w:rPr>
          <w:rFonts w:hint="eastAsia" w:ascii="宋体" w:hAnsi="宋体" w:cs="Times New Roman"/>
          <w:bCs/>
          <w:color w:val="auto"/>
          <w:sz w:val="24"/>
          <w:szCs w:val="24"/>
          <w:highlight w:val="none"/>
          <w:lang w:val="en-US" w:eastAsia="zh-CN"/>
        </w:rPr>
        <w:t>李院长</w:t>
      </w:r>
      <w:r>
        <w:rPr>
          <w:rFonts w:hint="eastAsia" w:ascii="宋体" w:hAnsi="宋体" w:eastAsia="宋体" w:cs="Times New Roman"/>
          <w:bCs/>
          <w:color w:val="auto"/>
          <w:sz w:val="24"/>
          <w:szCs w:val="24"/>
          <w:highlight w:val="none"/>
        </w:rPr>
        <w:t>，</w:t>
      </w:r>
      <w:r>
        <w:rPr>
          <w:rFonts w:hint="eastAsia" w:ascii="宋体" w:hAnsi="宋体" w:cs="Times New Roman"/>
          <w:bCs/>
          <w:color w:val="auto"/>
          <w:sz w:val="24"/>
          <w:szCs w:val="24"/>
          <w:highlight w:val="none"/>
          <w:lang w:eastAsia="zh-CN"/>
        </w:rPr>
        <w:t>孙工</w:t>
      </w:r>
    </w:p>
    <w:p w14:paraId="2EAC4E77">
      <w:pPr>
        <w:spacing w:line="450" w:lineRule="exact"/>
        <w:ind w:firstLine="480"/>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电 话：</w:t>
      </w:r>
      <w:r>
        <w:rPr>
          <w:rFonts w:hint="eastAsia" w:ascii="宋体" w:hAnsi="宋体" w:cs="Times New Roman"/>
          <w:bCs/>
          <w:color w:val="auto"/>
          <w:sz w:val="24"/>
          <w:szCs w:val="24"/>
          <w:highlight w:val="none"/>
          <w:lang w:eastAsia="zh-CN"/>
        </w:rPr>
        <w:t>13805104228</w:t>
      </w:r>
      <w:r>
        <w:rPr>
          <w:rFonts w:hint="eastAsia" w:ascii="宋体" w:hAnsi="宋体" w:eastAsia="宋体" w:cs="Times New Roman"/>
          <w:bCs/>
          <w:color w:val="auto"/>
          <w:sz w:val="24"/>
          <w:szCs w:val="24"/>
          <w:highlight w:val="none"/>
        </w:rPr>
        <w:t>，</w:t>
      </w:r>
      <w:r>
        <w:rPr>
          <w:rFonts w:hint="eastAsia" w:ascii="宋体" w:hAnsi="宋体" w:cs="Times New Roman"/>
          <w:bCs/>
          <w:color w:val="auto"/>
          <w:sz w:val="24"/>
          <w:szCs w:val="24"/>
          <w:highlight w:val="none"/>
          <w:lang w:val="en-US" w:eastAsia="zh-CN"/>
        </w:rPr>
        <w:t>18361172266</w:t>
      </w:r>
    </w:p>
    <w:p w14:paraId="151ACB93">
      <w:pPr>
        <w:spacing w:line="450" w:lineRule="exact"/>
        <w:ind w:firstLine="480"/>
        <w:jc w:val="right"/>
        <w:rPr>
          <w:rFonts w:hint="eastAsia" w:ascii="宋体" w:hAnsi="宋体"/>
          <w:color w:val="auto"/>
          <w:sz w:val="24"/>
          <w:szCs w:val="24"/>
          <w:highlight w:val="none"/>
        </w:rPr>
      </w:pPr>
    </w:p>
    <w:p w14:paraId="6602015B">
      <w:pPr>
        <w:spacing w:line="450" w:lineRule="exact"/>
        <w:ind w:firstLine="480"/>
        <w:jc w:val="righ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2025年12月30日</w:t>
      </w:r>
    </w:p>
    <w:p w14:paraId="24BE7929">
      <w:pPr>
        <w:spacing w:line="450" w:lineRule="exact"/>
        <w:rPr>
          <w:rFonts w:hint="eastAsia" w:ascii="楷体_GB2312" w:hAnsi="楷体_GB2312" w:cs="楷体_GB2312"/>
          <w:color w:val="auto"/>
          <w:sz w:val="24"/>
          <w:highlight w:val="none"/>
        </w:rPr>
      </w:pPr>
    </w:p>
    <w:p w14:paraId="6289A0AE">
      <w:pPr>
        <w:spacing w:line="450" w:lineRule="exact"/>
        <w:jc w:val="center"/>
        <w:rPr>
          <w:rFonts w:ascii="黑体" w:hAnsi="Arial" w:eastAsia="黑体" w:cs="Arial"/>
          <w:color w:val="auto"/>
          <w:sz w:val="44"/>
          <w:szCs w:val="44"/>
          <w:highlight w:val="none"/>
        </w:rPr>
      </w:pPr>
      <w:bookmarkStart w:id="44" w:name="_Toc120614211"/>
      <w:r>
        <w:rPr>
          <w:rFonts w:hint="eastAsia" w:ascii="黑体" w:hAnsi="Arial" w:eastAsia="黑体" w:cs="Arial"/>
          <w:b/>
          <w:bCs/>
          <w:color w:val="auto"/>
          <w:sz w:val="44"/>
          <w:szCs w:val="44"/>
          <w:highlight w:val="none"/>
        </w:rPr>
        <w:t xml:space="preserve">第二章  </w:t>
      </w:r>
      <w:bookmarkEnd w:id="44"/>
      <w:bookmarkStart w:id="45" w:name="_Toc16938518"/>
      <w:bookmarkStart w:id="46" w:name="_Toc20823274"/>
      <w:bookmarkStart w:id="47" w:name="_Toc513029202"/>
      <w:bookmarkStart w:id="48" w:name="_Toc120614213"/>
      <w:r>
        <w:rPr>
          <w:rFonts w:hint="eastAsia" w:ascii="黑体" w:hAnsi="Arial" w:eastAsia="黑体" w:cs="Arial"/>
          <w:b/>
          <w:bCs/>
          <w:color w:val="auto"/>
          <w:sz w:val="44"/>
          <w:szCs w:val="44"/>
          <w:highlight w:val="none"/>
        </w:rPr>
        <w:t>投标人须知</w:t>
      </w:r>
      <w:bookmarkEnd w:id="45"/>
      <w:bookmarkEnd w:id="46"/>
      <w:bookmarkEnd w:id="47"/>
      <w:bookmarkEnd w:id="48"/>
    </w:p>
    <w:p w14:paraId="5FFAC026">
      <w:pPr>
        <w:spacing w:line="460" w:lineRule="exact"/>
        <w:ind w:firstLine="480"/>
        <w:rPr>
          <w:rFonts w:hint="eastAsia" w:ascii="宋体" w:hAnsi="宋体"/>
          <w:b/>
          <w:color w:val="auto"/>
          <w:sz w:val="24"/>
          <w:szCs w:val="24"/>
          <w:highlight w:val="none"/>
        </w:rPr>
      </w:pPr>
      <w:bookmarkStart w:id="49" w:name="_Toc120614214"/>
      <w:bookmarkStart w:id="50" w:name="_Toc513029203"/>
      <w:bookmarkStart w:id="51" w:name="_Toc16938519"/>
      <w:bookmarkStart w:id="52" w:name="_Toc20823275"/>
      <w:r>
        <w:rPr>
          <w:rFonts w:hint="eastAsia" w:ascii="宋体" w:hAnsi="宋体"/>
          <w:b/>
          <w:color w:val="auto"/>
          <w:sz w:val="24"/>
          <w:szCs w:val="24"/>
          <w:highlight w:val="none"/>
        </w:rPr>
        <w:t>一、总则</w:t>
      </w:r>
      <w:bookmarkEnd w:id="49"/>
      <w:bookmarkEnd w:id="50"/>
      <w:bookmarkEnd w:id="51"/>
      <w:bookmarkEnd w:id="52"/>
    </w:p>
    <w:p w14:paraId="6726628E">
      <w:pPr>
        <w:spacing w:line="460" w:lineRule="exact"/>
        <w:ind w:firstLine="480"/>
        <w:rPr>
          <w:rFonts w:hint="eastAsia" w:ascii="宋体" w:hAnsi="宋体"/>
          <w:b/>
          <w:color w:val="auto"/>
          <w:sz w:val="24"/>
          <w:szCs w:val="24"/>
          <w:highlight w:val="none"/>
        </w:rPr>
      </w:pPr>
      <w:bookmarkStart w:id="53" w:name="_Hlt16619475"/>
      <w:bookmarkEnd w:id="53"/>
      <w:bookmarkStart w:id="54" w:name="_Toc458694821"/>
      <w:bookmarkStart w:id="55" w:name="_Toc20823276"/>
      <w:bookmarkStart w:id="56" w:name="_Toc16938520"/>
      <w:bookmarkStart w:id="57" w:name="_Toc513029204"/>
      <w:r>
        <w:rPr>
          <w:rFonts w:hint="eastAsia" w:ascii="宋体" w:hAnsi="宋体"/>
          <w:b/>
          <w:color w:val="auto"/>
          <w:sz w:val="24"/>
          <w:szCs w:val="24"/>
          <w:highlight w:val="none"/>
        </w:rPr>
        <w:t>1</w:t>
      </w:r>
      <w:bookmarkEnd w:id="54"/>
      <w:r>
        <w:rPr>
          <w:rFonts w:hint="eastAsia" w:ascii="宋体" w:hAnsi="宋体"/>
          <w:b/>
          <w:color w:val="auto"/>
          <w:sz w:val="24"/>
          <w:szCs w:val="24"/>
          <w:highlight w:val="none"/>
        </w:rPr>
        <w:t>、招标方式</w:t>
      </w:r>
      <w:bookmarkEnd w:id="55"/>
      <w:bookmarkEnd w:id="56"/>
      <w:bookmarkEnd w:id="57"/>
    </w:p>
    <w:p w14:paraId="4174CE2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 本次招标采取公开招标方式，本招标文件仅适用于招标公告中所述项目。</w:t>
      </w:r>
    </w:p>
    <w:p w14:paraId="5B55CBB3">
      <w:pPr>
        <w:spacing w:line="460" w:lineRule="exact"/>
        <w:ind w:firstLine="480"/>
        <w:rPr>
          <w:rFonts w:hint="eastAsia" w:ascii="宋体" w:hAnsi="宋体"/>
          <w:b/>
          <w:color w:val="auto"/>
          <w:sz w:val="24"/>
          <w:szCs w:val="24"/>
          <w:highlight w:val="none"/>
        </w:rPr>
      </w:pPr>
      <w:bookmarkStart w:id="58" w:name="_Toc513029205"/>
      <w:bookmarkStart w:id="59" w:name="_Toc20823277"/>
      <w:bookmarkStart w:id="60" w:name="_Toc16938521"/>
      <w:r>
        <w:rPr>
          <w:rFonts w:hint="eastAsia" w:ascii="宋体" w:hAnsi="宋体"/>
          <w:b/>
          <w:color w:val="auto"/>
          <w:sz w:val="24"/>
          <w:szCs w:val="24"/>
          <w:highlight w:val="none"/>
        </w:rPr>
        <w:t>2、合格的投标人</w:t>
      </w:r>
      <w:bookmarkEnd w:id="58"/>
      <w:bookmarkEnd w:id="59"/>
      <w:bookmarkEnd w:id="60"/>
    </w:p>
    <w:p w14:paraId="013DDF5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2.1满足招标公告中</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的资格要求的规定。</w:t>
      </w:r>
    </w:p>
    <w:p w14:paraId="0A8234F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 满足本文件实质性要求和条件的规定。</w:t>
      </w:r>
    </w:p>
    <w:p w14:paraId="0C32B31C">
      <w:pPr>
        <w:spacing w:line="460" w:lineRule="exact"/>
        <w:ind w:firstLine="480"/>
        <w:rPr>
          <w:rFonts w:hint="eastAsia" w:ascii="宋体" w:hAnsi="宋体"/>
          <w:b/>
          <w:color w:val="auto"/>
          <w:sz w:val="24"/>
          <w:szCs w:val="24"/>
          <w:highlight w:val="none"/>
        </w:rPr>
      </w:pPr>
      <w:bookmarkStart w:id="61" w:name="_Toc513029206"/>
      <w:bookmarkStart w:id="62" w:name="_Toc16938522"/>
      <w:bookmarkStart w:id="63" w:name="_Toc20823278"/>
      <w:r>
        <w:rPr>
          <w:rFonts w:hint="eastAsia" w:ascii="宋体" w:hAnsi="宋体"/>
          <w:b/>
          <w:color w:val="auto"/>
          <w:sz w:val="24"/>
          <w:szCs w:val="24"/>
          <w:highlight w:val="none"/>
        </w:rPr>
        <w:t>3、适用法律</w:t>
      </w:r>
      <w:bookmarkEnd w:id="61"/>
      <w:bookmarkEnd w:id="62"/>
      <w:bookmarkEnd w:id="63"/>
    </w:p>
    <w:p w14:paraId="1AC32FCD">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3.1 本次招标及由此产生的合同受中华人民共和国有关的法律法规制约和保护</w:t>
      </w:r>
      <w:r>
        <w:rPr>
          <w:rFonts w:ascii="宋体" w:hAnsi="宋体"/>
          <w:color w:val="auto"/>
          <w:sz w:val="24"/>
          <w:szCs w:val="24"/>
          <w:highlight w:val="none"/>
        </w:rPr>
        <w:t>。</w:t>
      </w:r>
    </w:p>
    <w:p w14:paraId="54A743EC">
      <w:pPr>
        <w:spacing w:line="460" w:lineRule="exact"/>
        <w:ind w:firstLine="480"/>
        <w:rPr>
          <w:rFonts w:hint="eastAsia" w:ascii="宋体" w:hAnsi="宋体"/>
          <w:b/>
          <w:color w:val="auto"/>
          <w:sz w:val="24"/>
          <w:szCs w:val="24"/>
          <w:highlight w:val="none"/>
        </w:rPr>
      </w:pPr>
      <w:bookmarkStart w:id="64" w:name="_Toc16938523"/>
      <w:bookmarkStart w:id="65" w:name="_Toc20823279"/>
      <w:bookmarkStart w:id="66" w:name="_Toc513029207"/>
      <w:bookmarkStart w:id="67" w:name="_Toc462564067"/>
      <w:r>
        <w:rPr>
          <w:rFonts w:hint="eastAsia" w:ascii="宋体" w:hAnsi="宋体"/>
          <w:b/>
          <w:color w:val="auto"/>
          <w:sz w:val="24"/>
          <w:szCs w:val="24"/>
          <w:highlight w:val="none"/>
        </w:rPr>
        <w:t>4、投标费用</w:t>
      </w:r>
      <w:bookmarkEnd w:id="64"/>
      <w:bookmarkEnd w:id="65"/>
      <w:bookmarkEnd w:id="66"/>
      <w:bookmarkEnd w:id="67"/>
    </w:p>
    <w:p w14:paraId="2BC5C1FE">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4.1 投标人应自行承担所有与参加投标有关的费用，无论投标过程中的做法和结果如何，采购人或采购代理机构在任何情况下均无义务和责任承担这些费用。</w:t>
      </w:r>
    </w:p>
    <w:p w14:paraId="45AE5D78">
      <w:pPr>
        <w:tabs>
          <w:tab w:val="left" w:pos="3262"/>
        </w:tabs>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4.2代理机构将</w:t>
      </w:r>
      <w:r>
        <w:rPr>
          <w:rFonts w:hint="eastAsia" w:asciiTheme="minorEastAsia" w:hAnsiTheme="minorEastAsia" w:eastAsiaTheme="minorEastAsia" w:cstheme="minorEastAsia"/>
          <w:color w:val="auto"/>
          <w:sz w:val="24"/>
          <w:szCs w:val="24"/>
          <w:highlight w:val="none"/>
        </w:rPr>
        <w:t>根据计价格【2002】1980号文件，</w:t>
      </w:r>
      <w:r>
        <w:rPr>
          <w:rFonts w:hint="eastAsia" w:asciiTheme="minorEastAsia" w:hAnsiTheme="minorEastAsia" w:eastAsiaTheme="minorEastAsia" w:cstheme="minorEastAsia"/>
          <w:color w:val="auto"/>
          <w:sz w:val="24"/>
          <w:szCs w:val="24"/>
          <w:highlight w:val="none"/>
          <w:lang w:val="en-US" w:eastAsia="zh-CN"/>
        </w:rPr>
        <w:t>按</w:t>
      </w:r>
      <w:r>
        <w:rPr>
          <w:rFonts w:hint="eastAsia" w:asciiTheme="minorEastAsia" w:hAnsiTheme="minorEastAsia" w:eastAsiaTheme="minorEastAsia" w:cstheme="minorEastAsia"/>
          <w:color w:val="auto"/>
          <w:sz w:val="24"/>
          <w:szCs w:val="24"/>
          <w:highlight w:val="none"/>
        </w:rPr>
        <w:t>中标价</w:t>
      </w:r>
      <w:r>
        <w:rPr>
          <w:rFonts w:hint="eastAsia" w:asciiTheme="minorEastAsia" w:hAnsiTheme="minorEastAsia" w:eastAsiaTheme="minorEastAsia" w:cstheme="minorEastAsia"/>
          <w:color w:val="auto"/>
          <w:sz w:val="24"/>
          <w:szCs w:val="24"/>
          <w:highlight w:val="none"/>
          <w:lang w:val="en-US" w:eastAsia="zh-CN"/>
        </w:rPr>
        <w:t>1.3%</w:t>
      </w:r>
      <w:r>
        <w:rPr>
          <w:rFonts w:hint="eastAsia" w:asciiTheme="minorEastAsia" w:hAnsiTheme="minorEastAsia" w:eastAsiaTheme="minorEastAsia" w:cstheme="minorEastAsia"/>
          <w:color w:val="auto"/>
          <w:sz w:val="24"/>
          <w:szCs w:val="24"/>
          <w:highlight w:val="none"/>
        </w:rPr>
        <w:t>向中标人收取服务费用，由中标人在领取中标通知书前一次性支付</w:t>
      </w:r>
      <w:r>
        <w:rPr>
          <w:rFonts w:hint="eastAsia" w:ascii="宋体" w:hAnsi="宋体"/>
          <w:color w:val="auto"/>
          <w:sz w:val="24"/>
          <w:szCs w:val="24"/>
          <w:highlight w:val="none"/>
        </w:rPr>
        <w:t>。</w:t>
      </w:r>
    </w:p>
    <w:p w14:paraId="24C6FF26">
      <w:pPr>
        <w:spacing w:line="46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5、招标文件的约束力</w:t>
      </w:r>
    </w:p>
    <w:p w14:paraId="574C1A99">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5.1 投标人一旦参加本项目采购活动，即被认为接受了本招标文件的规定和约束。</w:t>
      </w:r>
    </w:p>
    <w:p w14:paraId="0C27CFF8">
      <w:pPr>
        <w:spacing w:line="460" w:lineRule="exact"/>
        <w:ind w:firstLine="480"/>
        <w:rPr>
          <w:rFonts w:hint="eastAsia" w:ascii="宋体" w:hAnsi="宋体"/>
          <w:b/>
          <w:color w:val="auto"/>
          <w:sz w:val="24"/>
          <w:szCs w:val="24"/>
          <w:highlight w:val="none"/>
        </w:rPr>
      </w:pPr>
      <w:bookmarkStart w:id="68" w:name="_Toc513029209"/>
      <w:bookmarkStart w:id="69" w:name="_Toc120614215"/>
      <w:bookmarkStart w:id="70" w:name="_Toc16938525"/>
      <w:bookmarkStart w:id="71" w:name="_Toc20823281"/>
      <w:r>
        <w:rPr>
          <w:rFonts w:hint="eastAsia" w:ascii="宋体" w:hAnsi="宋体"/>
          <w:b/>
          <w:color w:val="auto"/>
          <w:sz w:val="24"/>
          <w:szCs w:val="24"/>
          <w:highlight w:val="none"/>
        </w:rPr>
        <w:t>二、招标文件</w:t>
      </w:r>
      <w:bookmarkEnd w:id="68"/>
      <w:bookmarkEnd w:id="69"/>
      <w:bookmarkEnd w:id="70"/>
      <w:bookmarkEnd w:id="71"/>
    </w:p>
    <w:p w14:paraId="4509ED31">
      <w:pPr>
        <w:spacing w:line="460" w:lineRule="exact"/>
        <w:ind w:firstLine="480"/>
        <w:rPr>
          <w:rFonts w:hint="eastAsia" w:ascii="宋体" w:hAnsi="宋体"/>
          <w:b/>
          <w:color w:val="auto"/>
          <w:sz w:val="24"/>
          <w:szCs w:val="24"/>
          <w:highlight w:val="none"/>
        </w:rPr>
      </w:pPr>
      <w:bookmarkStart w:id="72" w:name="_Toc513029210"/>
      <w:bookmarkStart w:id="73" w:name="_Toc16938526"/>
      <w:bookmarkStart w:id="74" w:name="_Toc20823282"/>
      <w:r>
        <w:rPr>
          <w:rFonts w:hint="eastAsia" w:ascii="宋体" w:hAnsi="宋体"/>
          <w:b/>
          <w:color w:val="auto"/>
          <w:sz w:val="24"/>
          <w:szCs w:val="24"/>
          <w:highlight w:val="none"/>
        </w:rPr>
        <w:t>6、招标文件构成</w:t>
      </w:r>
      <w:bookmarkEnd w:id="72"/>
      <w:bookmarkEnd w:id="73"/>
      <w:bookmarkEnd w:id="74"/>
    </w:p>
    <w:p w14:paraId="24631D60">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6.1 招标文件由以下部分组成：</w:t>
      </w:r>
    </w:p>
    <w:p w14:paraId="63168960">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（1）招标公告</w:t>
      </w:r>
    </w:p>
    <w:p w14:paraId="022305F3">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（2）投标人须知</w:t>
      </w:r>
    </w:p>
    <w:p w14:paraId="41B469B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（3）合同文本</w:t>
      </w:r>
    </w:p>
    <w:p w14:paraId="5617952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（4）采购需求</w:t>
      </w:r>
    </w:p>
    <w:p w14:paraId="6D51635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（5）评标方法与评标标准</w:t>
      </w:r>
    </w:p>
    <w:p w14:paraId="782AA0C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（6）投标文件格式</w:t>
      </w:r>
    </w:p>
    <w:p w14:paraId="1DAD38ED">
      <w:pPr>
        <w:spacing w:line="460" w:lineRule="exact"/>
        <w:ind w:firstLine="480"/>
        <w:rPr>
          <w:rFonts w:hint="eastAsia" w:ascii="宋体" w:hAnsi="宋体"/>
          <w:color w:val="auto"/>
          <w:sz w:val="24"/>
          <w:szCs w:val="21"/>
          <w:highlight w:val="none"/>
        </w:rPr>
      </w:pPr>
      <w:r>
        <w:rPr>
          <w:rFonts w:hint="eastAsia" w:ascii="宋体" w:hAnsi="宋体"/>
          <w:color w:val="auto"/>
          <w:sz w:val="24"/>
          <w:szCs w:val="24"/>
          <w:highlight w:val="none"/>
        </w:rPr>
        <w:t>请仔细检查招标文</w:t>
      </w:r>
      <w:r>
        <w:rPr>
          <w:rFonts w:hint="eastAsia" w:ascii="宋体" w:hAnsi="宋体"/>
          <w:color w:val="auto"/>
          <w:sz w:val="24"/>
          <w:szCs w:val="21"/>
          <w:highlight w:val="none"/>
        </w:rPr>
        <w:t>件是否齐全，如有缺漏请立即与采购人或采购代理机构联系解决。</w:t>
      </w:r>
    </w:p>
    <w:p w14:paraId="6DF592F1">
      <w:pPr>
        <w:spacing w:line="460" w:lineRule="exact"/>
        <w:ind w:firstLine="480"/>
        <w:rPr>
          <w:rFonts w:hint="eastAsia" w:ascii="宋体" w:hAnsi="宋体"/>
          <w:color w:val="auto"/>
          <w:sz w:val="24"/>
          <w:szCs w:val="24"/>
          <w:highlight w:val="none"/>
        </w:rPr>
      </w:pPr>
      <w:r>
        <w:rPr>
          <w:rFonts w:hint="eastAsia" w:ascii="宋体" w:hAnsi="宋体"/>
          <w:bCs/>
          <w:color w:val="auto"/>
          <w:sz w:val="24"/>
          <w:szCs w:val="21"/>
          <w:highlight w:val="none"/>
        </w:rPr>
        <w:t>6.2</w:t>
      </w:r>
      <w:r>
        <w:rPr>
          <w:rFonts w:hint="eastAsia" w:ascii="宋体" w:hAnsi="宋体"/>
          <w:color w:val="auto"/>
          <w:sz w:val="24"/>
          <w:szCs w:val="21"/>
          <w:highlight w:val="none"/>
        </w:rPr>
        <w:t xml:space="preserve"> </w:t>
      </w:r>
      <w:r>
        <w:rPr>
          <w:rFonts w:hint="eastAsia" w:ascii="宋体" w:hAnsi="宋体"/>
          <w:color w:val="auto"/>
          <w:sz w:val="24"/>
          <w:szCs w:val="24"/>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B6100B5">
      <w:pPr>
        <w:spacing w:line="460" w:lineRule="exact"/>
        <w:ind w:firstLine="480"/>
        <w:rPr>
          <w:rFonts w:hint="eastAsia" w:ascii="宋体" w:hAnsi="宋体"/>
          <w:b/>
          <w:bCs/>
          <w:color w:val="auto"/>
          <w:sz w:val="24"/>
          <w:szCs w:val="24"/>
          <w:highlight w:val="none"/>
        </w:rPr>
      </w:pPr>
      <w:bookmarkStart w:id="75" w:name="_Toc20823283"/>
      <w:bookmarkStart w:id="76" w:name="_Toc16938527"/>
      <w:bookmarkStart w:id="77" w:name="_Toc462564070"/>
      <w:bookmarkStart w:id="78" w:name="_Toc513029211"/>
      <w:r>
        <w:rPr>
          <w:rFonts w:hint="eastAsia" w:ascii="宋体" w:hAnsi="宋体"/>
          <w:b/>
          <w:bCs/>
          <w:color w:val="auto"/>
          <w:sz w:val="24"/>
          <w:szCs w:val="24"/>
          <w:highlight w:val="none"/>
        </w:rPr>
        <w:t>7、招标文件的澄清</w:t>
      </w:r>
      <w:bookmarkEnd w:id="75"/>
      <w:bookmarkEnd w:id="76"/>
      <w:bookmarkEnd w:id="77"/>
      <w:bookmarkEnd w:id="78"/>
    </w:p>
    <w:p w14:paraId="6147265F">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7.1 任何要求对招标文件进行澄清的投标人，应在投标截止期十日前按招标公告中的通讯地址，以书面形式通知采购人或采购代理机构。</w:t>
      </w:r>
    </w:p>
    <w:p w14:paraId="5858F3EA">
      <w:pPr>
        <w:spacing w:line="460" w:lineRule="exact"/>
        <w:ind w:firstLine="480"/>
        <w:rPr>
          <w:rFonts w:hint="eastAsia" w:ascii="宋体" w:hAnsi="宋体"/>
          <w:b/>
          <w:bCs/>
          <w:color w:val="auto"/>
          <w:sz w:val="24"/>
          <w:szCs w:val="24"/>
          <w:highlight w:val="none"/>
        </w:rPr>
      </w:pPr>
      <w:bookmarkStart w:id="79" w:name="_Toc16938528"/>
      <w:bookmarkStart w:id="80" w:name="_Toc513029212"/>
      <w:bookmarkStart w:id="81" w:name="_Toc20823284"/>
      <w:bookmarkStart w:id="82" w:name="_Toc462564071"/>
      <w:r>
        <w:rPr>
          <w:rFonts w:hint="eastAsia" w:ascii="宋体" w:hAnsi="宋体"/>
          <w:b/>
          <w:bCs/>
          <w:color w:val="auto"/>
          <w:sz w:val="24"/>
          <w:szCs w:val="24"/>
          <w:highlight w:val="none"/>
        </w:rPr>
        <w:t>8、招标文件的修改</w:t>
      </w:r>
      <w:bookmarkEnd w:id="79"/>
      <w:bookmarkEnd w:id="80"/>
      <w:bookmarkEnd w:id="81"/>
      <w:bookmarkEnd w:id="82"/>
    </w:p>
    <w:p w14:paraId="3892F0D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8.1 在投标截止时间前，采购人或采购代理机构可以对招标文件进行修改。</w:t>
      </w:r>
    </w:p>
    <w:p w14:paraId="792E050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8.2 采购人或采购代理机构有权按照法定的要求推迟投标截止日期和开标日期。</w:t>
      </w:r>
    </w:p>
    <w:p w14:paraId="514F9B3D">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8.3 招标文件的修改将在中国政府采购网、江苏政府采购网、盐城市政府采购网、阜宁县公共资源电子化服务平台公布，补充文件将作为招标文件的组成部分，并对投标人具有约束力。</w:t>
      </w:r>
    </w:p>
    <w:p w14:paraId="6BC0DCBE">
      <w:pPr>
        <w:spacing w:line="460" w:lineRule="exact"/>
        <w:ind w:firstLine="480"/>
        <w:rPr>
          <w:rFonts w:hint="eastAsia" w:ascii="宋体" w:hAnsi="宋体"/>
          <w:b/>
          <w:bCs/>
          <w:color w:val="auto"/>
          <w:sz w:val="24"/>
          <w:szCs w:val="24"/>
          <w:highlight w:val="none"/>
        </w:rPr>
      </w:pPr>
      <w:bookmarkStart w:id="83" w:name="_Toc16938529"/>
      <w:bookmarkStart w:id="84" w:name="_Toc120614216"/>
      <w:bookmarkStart w:id="85" w:name="_Toc462564072"/>
      <w:bookmarkStart w:id="86" w:name="_Toc513029213"/>
      <w:bookmarkStart w:id="87" w:name="_Toc20823285"/>
      <w:r>
        <w:rPr>
          <w:rFonts w:hint="eastAsia" w:ascii="宋体" w:hAnsi="宋体"/>
          <w:b/>
          <w:bCs/>
          <w:color w:val="auto"/>
          <w:sz w:val="24"/>
          <w:szCs w:val="24"/>
          <w:highlight w:val="none"/>
        </w:rPr>
        <w:t>三、投标文件的编制</w:t>
      </w:r>
      <w:bookmarkEnd w:id="83"/>
      <w:bookmarkEnd w:id="84"/>
      <w:bookmarkEnd w:id="85"/>
      <w:bookmarkEnd w:id="86"/>
      <w:bookmarkEnd w:id="87"/>
    </w:p>
    <w:p w14:paraId="129C107A">
      <w:pPr>
        <w:spacing w:line="460" w:lineRule="exact"/>
        <w:ind w:firstLine="480"/>
        <w:rPr>
          <w:rFonts w:hint="eastAsia" w:ascii="宋体" w:hAnsi="宋体"/>
          <w:color w:val="auto"/>
          <w:sz w:val="24"/>
          <w:szCs w:val="24"/>
          <w:highlight w:val="none"/>
        </w:rPr>
      </w:pPr>
      <w:bookmarkStart w:id="88" w:name="_Toc462564073"/>
      <w:bookmarkStart w:id="89" w:name="_Toc16938530"/>
      <w:bookmarkStart w:id="90" w:name="_Toc20823286"/>
      <w:bookmarkStart w:id="91" w:name="_Toc513029214"/>
      <w:r>
        <w:rPr>
          <w:rFonts w:hint="eastAsia" w:ascii="宋体" w:hAnsi="宋体"/>
          <w:color w:val="auto"/>
          <w:sz w:val="24"/>
          <w:szCs w:val="24"/>
          <w:highlight w:val="none"/>
        </w:rPr>
        <w:t>9、投标文件的语言及度量衡单位</w:t>
      </w:r>
      <w:bookmarkEnd w:id="88"/>
      <w:bookmarkEnd w:id="89"/>
      <w:bookmarkEnd w:id="90"/>
      <w:bookmarkEnd w:id="91"/>
      <w:r>
        <w:rPr>
          <w:rFonts w:hint="eastAsia" w:ascii="宋体" w:hAnsi="宋体"/>
          <w:color w:val="auto"/>
          <w:sz w:val="24"/>
          <w:szCs w:val="24"/>
          <w:highlight w:val="none"/>
        </w:rPr>
        <w:tab/>
      </w:r>
    </w:p>
    <w:p w14:paraId="65F63DA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9.1 投标人提交的投标文件以及投标人与采购人或采购代理机构就有关投标的所有来往通知、函件和文件均应使用</w:t>
      </w:r>
      <w:r>
        <w:rPr>
          <w:rFonts w:hint="eastAsia" w:ascii="宋体" w:hAnsi="宋体"/>
          <w:b/>
          <w:bCs/>
          <w:color w:val="auto"/>
          <w:sz w:val="24"/>
          <w:szCs w:val="24"/>
          <w:highlight w:val="none"/>
        </w:rPr>
        <w:t>简体中文。</w:t>
      </w:r>
    </w:p>
    <w:p w14:paraId="27326AC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9.2 除技术性能另有规定外，投标文件所使用的度量衡单位，均须采用国家法定计量单位。</w:t>
      </w:r>
    </w:p>
    <w:p w14:paraId="4B376FD9">
      <w:pPr>
        <w:spacing w:line="460" w:lineRule="exact"/>
        <w:ind w:firstLine="480"/>
        <w:rPr>
          <w:rFonts w:hint="eastAsia" w:ascii="宋体" w:hAnsi="宋体"/>
          <w:b/>
          <w:bCs/>
          <w:color w:val="auto"/>
          <w:sz w:val="24"/>
          <w:szCs w:val="24"/>
          <w:highlight w:val="none"/>
        </w:rPr>
      </w:pPr>
      <w:bookmarkStart w:id="92" w:name="_Toc513029215"/>
      <w:bookmarkStart w:id="93" w:name="_Toc20823287"/>
      <w:bookmarkStart w:id="94" w:name="_Toc16938531"/>
      <w:bookmarkStart w:id="95" w:name="_Toc462564074"/>
      <w:r>
        <w:rPr>
          <w:rFonts w:hint="eastAsia" w:ascii="宋体" w:hAnsi="宋体"/>
          <w:b/>
          <w:bCs/>
          <w:color w:val="auto"/>
          <w:sz w:val="24"/>
          <w:szCs w:val="24"/>
          <w:highlight w:val="none"/>
        </w:rPr>
        <w:t>10、投标文件构成</w:t>
      </w:r>
      <w:bookmarkEnd w:id="92"/>
      <w:bookmarkEnd w:id="93"/>
      <w:bookmarkEnd w:id="94"/>
      <w:bookmarkEnd w:id="95"/>
    </w:p>
    <w:p w14:paraId="5AEED12E">
      <w:pPr>
        <w:spacing w:line="460" w:lineRule="exact"/>
        <w:ind w:firstLine="480"/>
        <w:rPr>
          <w:rFonts w:hint="eastAsia" w:ascii="宋体" w:hAnsi="宋体"/>
          <w:color w:val="auto"/>
          <w:sz w:val="24"/>
          <w:szCs w:val="24"/>
          <w:highlight w:val="none"/>
        </w:rPr>
      </w:pPr>
      <w:bookmarkStart w:id="96" w:name="_Hlt26670360"/>
      <w:bookmarkEnd w:id="96"/>
      <w:bookmarkStart w:id="97" w:name="_Hlt26668975"/>
      <w:bookmarkEnd w:id="97"/>
      <w:bookmarkStart w:id="98" w:name="_Hlt26954838"/>
      <w:bookmarkEnd w:id="98"/>
      <w:bookmarkStart w:id="99" w:name="_Toc49090509"/>
      <w:bookmarkStart w:id="100" w:name="_Toc49090507"/>
      <w:bookmarkStart w:id="101" w:name="_Toc14577357"/>
      <w:bookmarkStart w:id="102" w:name="_Toc513029219"/>
      <w:bookmarkStart w:id="103" w:name="_Toc513029216"/>
      <w:bookmarkStart w:id="104" w:name="_Toc14577354"/>
      <w:bookmarkStart w:id="105" w:name="_Toc14577355"/>
      <w:bookmarkStart w:id="106" w:name="_Toc49090508"/>
      <w:r>
        <w:rPr>
          <w:rFonts w:hint="eastAsia" w:ascii="宋体" w:hAnsi="宋体"/>
          <w:color w:val="auto"/>
          <w:sz w:val="24"/>
          <w:szCs w:val="24"/>
          <w:highlight w:val="none"/>
        </w:rPr>
        <w:t>10.1 投标人编写的投标文件应包括资格证明文件、符合性证明文件、投标分项报价表、技术要求响应及偏离表、商务要求响应及偏离表、其他证明文件、投标函、开标一览表等部分。</w:t>
      </w:r>
    </w:p>
    <w:p w14:paraId="41361A9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10.2 如标书制作工具中格式和内容与“中国政府采购网”、“江苏政府采购网”、“盐城市政府采购网”发布的招标文件不一致，请以中国政府采购网”、“江苏政府采购网”、“盐城市政府采购网”发布的招标文件为准。</w:t>
      </w:r>
    </w:p>
    <w:p w14:paraId="056F9DD5">
      <w:pPr>
        <w:spacing w:line="460" w:lineRule="exact"/>
        <w:ind w:firstLine="480"/>
        <w:rPr>
          <w:rFonts w:hint="eastAsia" w:ascii="宋体" w:hAnsi="宋体"/>
          <w:color w:val="auto"/>
          <w:sz w:val="24"/>
          <w:szCs w:val="24"/>
          <w:highlight w:val="none"/>
        </w:rPr>
      </w:pPr>
      <w:r>
        <w:rPr>
          <w:rFonts w:hint="eastAsia" w:ascii="宋体" w:hAnsi="宋体"/>
          <w:b/>
          <w:bCs/>
          <w:color w:val="auto"/>
          <w:sz w:val="24"/>
          <w:szCs w:val="24"/>
          <w:highlight w:val="none"/>
        </w:rPr>
        <w:t>11、证明投标人及投标标的符合招标文件规定的文件</w:t>
      </w:r>
      <w:bookmarkEnd w:id="99"/>
      <w:bookmarkEnd w:id="100"/>
      <w:bookmarkEnd w:id="101"/>
      <w:bookmarkEnd w:id="102"/>
      <w:bookmarkEnd w:id="103"/>
      <w:bookmarkEnd w:id="104"/>
    </w:p>
    <w:p w14:paraId="6D7C588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11.1 投标人应按照招标文件要求提交证明文件，证明其及投标标的符合招标文件规定。</w:t>
      </w:r>
    </w:p>
    <w:p w14:paraId="1A387F6B">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bookmarkEnd w:id="105"/>
      <w:bookmarkEnd w:id="106"/>
    </w:p>
    <w:p w14:paraId="283252F9">
      <w:pPr>
        <w:spacing w:line="46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12、投标分项报价表（如有）</w:t>
      </w:r>
    </w:p>
    <w:p w14:paraId="79D6480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12.1 投标人应按照招标文件规定格式填报投标分项报价表。</w:t>
      </w:r>
    </w:p>
    <w:p w14:paraId="2182B99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12.2投标货币。投标文件中的单价和总价无特殊规定的采用人民币报价，以元为单位标注。招标文件中另有规定的按规定执行。</w:t>
      </w:r>
    </w:p>
    <w:p w14:paraId="27F013D4">
      <w:pPr>
        <w:spacing w:line="460" w:lineRule="exact"/>
        <w:ind w:firstLine="480"/>
        <w:rPr>
          <w:rFonts w:hint="eastAsia" w:ascii="宋体" w:hAnsi="宋体"/>
          <w:b/>
          <w:color w:val="auto"/>
          <w:sz w:val="24"/>
          <w:szCs w:val="24"/>
          <w:highlight w:val="none"/>
        </w:rPr>
      </w:pPr>
      <w:bookmarkStart w:id="107" w:name="_Hlt26954846"/>
      <w:bookmarkEnd w:id="107"/>
      <w:bookmarkStart w:id="108" w:name="_Hlt26954731"/>
      <w:bookmarkEnd w:id="108"/>
      <w:bookmarkStart w:id="109" w:name="_Hlt26954848"/>
      <w:bookmarkEnd w:id="109"/>
      <w:bookmarkStart w:id="110" w:name="_Hlt26670486"/>
      <w:bookmarkEnd w:id="110"/>
      <w:bookmarkStart w:id="111" w:name="_Hlt26670482"/>
      <w:bookmarkEnd w:id="111"/>
      <w:r>
        <w:rPr>
          <w:rFonts w:hint="eastAsia" w:ascii="宋体" w:hAnsi="宋体"/>
          <w:b/>
          <w:color w:val="auto"/>
          <w:sz w:val="24"/>
          <w:szCs w:val="24"/>
          <w:highlight w:val="none"/>
        </w:rPr>
        <w:t>13、技术要求响应及偏离表、商务要求响应及偏离表</w:t>
      </w:r>
    </w:p>
    <w:p w14:paraId="4A7B5822">
      <w:pPr>
        <w:spacing w:line="460" w:lineRule="exact"/>
        <w:ind w:firstLine="480"/>
        <w:rPr>
          <w:rFonts w:hint="eastAsia"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3</w:t>
      </w:r>
      <w:r>
        <w:rPr>
          <w:rFonts w:ascii="宋体" w:hAnsi="宋体"/>
          <w:color w:val="auto"/>
          <w:sz w:val="24"/>
          <w:szCs w:val="24"/>
          <w:highlight w:val="none"/>
        </w:rPr>
        <w:t>.1</w:t>
      </w:r>
      <w:r>
        <w:rPr>
          <w:rFonts w:hint="eastAsia" w:ascii="宋体" w:hAnsi="宋体"/>
          <w:color w:val="auto"/>
          <w:sz w:val="24"/>
          <w:szCs w:val="24"/>
          <w:highlight w:val="none"/>
        </w:rPr>
        <w:t xml:space="preserve"> 投标人需对招标文件中的技术要求与商务要求逐项作出响应或偏离，并说明原因。</w:t>
      </w:r>
    </w:p>
    <w:p w14:paraId="1385431C">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13.2 投标人可在投标文件中提供认为需要的其他技术文件或说明。</w:t>
      </w:r>
    </w:p>
    <w:p w14:paraId="551D69B5">
      <w:pPr>
        <w:spacing w:line="460" w:lineRule="exact"/>
        <w:ind w:firstLine="480"/>
        <w:rPr>
          <w:rFonts w:hint="eastAsia" w:ascii="宋体" w:hAnsi="宋体"/>
          <w:b/>
          <w:color w:val="auto"/>
          <w:sz w:val="24"/>
          <w:szCs w:val="24"/>
          <w:highlight w:val="none"/>
        </w:rPr>
      </w:pPr>
      <w:bookmarkStart w:id="112" w:name="_Toc14577359"/>
      <w:bookmarkStart w:id="113" w:name="_Toc49090510"/>
      <w:r>
        <w:rPr>
          <w:rFonts w:hint="eastAsia" w:ascii="宋体" w:hAnsi="宋体"/>
          <w:b/>
          <w:color w:val="auto"/>
          <w:sz w:val="24"/>
          <w:szCs w:val="24"/>
          <w:highlight w:val="none"/>
        </w:rPr>
        <w:t>14、投标函和开标一览表</w:t>
      </w:r>
    </w:p>
    <w:p w14:paraId="631EAAAB">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14.1 投标人应按照招标文件中提供的格式完整、正确填写投标函、开标一览表。</w:t>
      </w:r>
    </w:p>
    <w:p w14:paraId="7F43EB3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14.2 对于采用货币报价的项目，开标一览表中的投标总报价应与投标分项报价表中的投标总报价一致，如不一致，不作为无效投标处理，但评标时按开标一览表中价格为准。</w:t>
      </w:r>
      <w:bookmarkEnd w:id="112"/>
      <w:bookmarkEnd w:id="113"/>
    </w:p>
    <w:p w14:paraId="42078F59">
      <w:pPr>
        <w:spacing w:line="460" w:lineRule="exact"/>
        <w:ind w:firstLine="480"/>
        <w:rPr>
          <w:rFonts w:hint="eastAsia" w:ascii="宋体" w:hAnsi="宋体"/>
          <w:b/>
          <w:color w:val="auto"/>
          <w:sz w:val="24"/>
          <w:szCs w:val="24"/>
          <w:highlight w:val="none"/>
        </w:rPr>
      </w:pPr>
      <w:bookmarkStart w:id="114" w:name="_Toc14577360"/>
      <w:bookmarkStart w:id="115" w:name="_Toc49090511"/>
      <w:r>
        <w:rPr>
          <w:rFonts w:hint="eastAsia" w:ascii="宋体" w:hAnsi="宋体"/>
          <w:b/>
          <w:color w:val="auto"/>
          <w:sz w:val="24"/>
          <w:szCs w:val="24"/>
          <w:highlight w:val="none"/>
        </w:rPr>
        <w:t>15、投标有效期</w:t>
      </w:r>
      <w:bookmarkEnd w:id="114"/>
      <w:bookmarkEnd w:id="115"/>
    </w:p>
    <w:p w14:paraId="0205DA6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15.1投标有效期为采购代理机构规定的开标之日后</w:t>
      </w:r>
      <w:r>
        <w:rPr>
          <w:rFonts w:hint="eastAsia" w:ascii="宋体" w:hAnsi="宋体"/>
          <w:color w:val="auto"/>
          <w:sz w:val="24"/>
          <w:szCs w:val="24"/>
          <w:highlight w:val="none"/>
          <w:u w:val="single"/>
        </w:rPr>
        <w:t xml:space="preserve"> </w:t>
      </w:r>
      <w:r>
        <w:rPr>
          <w:rFonts w:hint="eastAsia" w:ascii="宋体" w:hAnsi="宋体"/>
          <w:b/>
          <w:bCs/>
          <w:color w:val="auto"/>
          <w:sz w:val="24"/>
          <w:szCs w:val="24"/>
          <w:highlight w:val="none"/>
          <w:u w:val="single"/>
        </w:rPr>
        <w:t>六十（60）</w:t>
      </w:r>
      <w:r>
        <w:rPr>
          <w:rFonts w:hint="eastAsia" w:ascii="宋体" w:hAnsi="宋体"/>
          <w:b/>
          <w:bCs/>
          <w:color w:val="auto"/>
          <w:sz w:val="24"/>
          <w:szCs w:val="24"/>
          <w:highlight w:val="none"/>
        </w:rPr>
        <w:t>天</w:t>
      </w:r>
      <w:r>
        <w:rPr>
          <w:rFonts w:hint="eastAsia" w:ascii="宋体" w:hAnsi="宋体"/>
          <w:color w:val="auto"/>
          <w:sz w:val="24"/>
          <w:szCs w:val="24"/>
          <w:highlight w:val="none"/>
        </w:rPr>
        <w:t>。投标有效期比规定短的将被视为未实质性响应招标文件而予以拒绝。</w:t>
      </w:r>
    </w:p>
    <w:p w14:paraId="0202AB90">
      <w:pPr>
        <w:spacing w:line="46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16、投标有效期的延长</w:t>
      </w:r>
    </w:p>
    <w:p w14:paraId="6893372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p>
    <w:p w14:paraId="4C07F1EB">
      <w:pPr>
        <w:spacing w:line="460" w:lineRule="exact"/>
        <w:ind w:firstLine="480"/>
        <w:rPr>
          <w:rFonts w:hint="eastAsia" w:ascii="宋体" w:hAnsi="宋体"/>
          <w:b/>
          <w:color w:val="auto"/>
          <w:sz w:val="24"/>
          <w:szCs w:val="24"/>
          <w:highlight w:val="none"/>
        </w:rPr>
      </w:pPr>
      <w:bookmarkStart w:id="116" w:name="_Hlt26954852"/>
      <w:bookmarkEnd w:id="116"/>
      <w:bookmarkStart w:id="117" w:name="_Hlt26954739"/>
      <w:bookmarkEnd w:id="117"/>
      <w:bookmarkStart w:id="118" w:name="_Toc20823296"/>
      <w:bookmarkStart w:id="119" w:name="_Toc513029224"/>
      <w:bookmarkStart w:id="120" w:name="_Toc120614217"/>
      <w:bookmarkStart w:id="121" w:name="_Toc16938540"/>
      <w:r>
        <w:rPr>
          <w:rFonts w:hint="eastAsia" w:ascii="宋体" w:hAnsi="宋体"/>
          <w:b/>
          <w:color w:val="auto"/>
          <w:sz w:val="24"/>
          <w:szCs w:val="24"/>
          <w:highlight w:val="none"/>
        </w:rPr>
        <w:t>四、投标文件的递交</w:t>
      </w:r>
      <w:bookmarkEnd w:id="118"/>
      <w:bookmarkEnd w:id="119"/>
      <w:bookmarkEnd w:id="120"/>
      <w:bookmarkEnd w:id="121"/>
    </w:p>
    <w:p w14:paraId="62874BCF">
      <w:pPr>
        <w:spacing w:line="460" w:lineRule="exact"/>
        <w:ind w:firstLine="480"/>
        <w:rPr>
          <w:rFonts w:hint="eastAsia" w:ascii="宋体" w:hAnsi="宋体"/>
          <w:b/>
          <w:color w:val="auto"/>
          <w:sz w:val="24"/>
          <w:szCs w:val="24"/>
          <w:highlight w:val="none"/>
        </w:rPr>
      </w:pPr>
      <w:bookmarkStart w:id="122" w:name="_Toc513029225"/>
      <w:bookmarkStart w:id="123" w:name="_Toc16938541"/>
      <w:bookmarkStart w:id="124" w:name="_Toc462564084"/>
      <w:bookmarkStart w:id="125" w:name="_Toc20823297"/>
      <w:r>
        <w:rPr>
          <w:rFonts w:hint="eastAsia" w:ascii="宋体" w:hAnsi="宋体"/>
          <w:b/>
          <w:color w:val="auto"/>
          <w:sz w:val="24"/>
          <w:szCs w:val="24"/>
          <w:highlight w:val="none"/>
        </w:rPr>
        <w:t>17、电子投标文件</w:t>
      </w:r>
      <w:bookmarkEnd w:id="122"/>
      <w:bookmarkEnd w:id="123"/>
      <w:bookmarkEnd w:id="124"/>
      <w:bookmarkEnd w:id="125"/>
      <w:r>
        <w:rPr>
          <w:rFonts w:hint="eastAsia" w:ascii="宋体" w:hAnsi="宋体"/>
          <w:b/>
          <w:color w:val="auto"/>
          <w:sz w:val="24"/>
          <w:szCs w:val="24"/>
          <w:highlight w:val="none"/>
        </w:rPr>
        <w:t>的递交</w:t>
      </w:r>
    </w:p>
    <w:p w14:paraId="25E16897">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17.1投标人应当按照《操作手册》规定，在投标截止时间前</w:t>
      </w:r>
      <w:r>
        <w:rPr>
          <w:rFonts w:ascii="宋体" w:hAnsi="宋体"/>
          <w:color w:val="auto"/>
          <w:sz w:val="24"/>
          <w:szCs w:val="24"/>
          <w:highlight w:val="none"/>
        </w:rPr>
        <w:t>制作</w:t>
      </w:r>
      <w:r>
        <w:rPr>
          <w:rFonts w:hint="eastAsia" w:ascii="宋体" w:hAnsi="宋体"/>
          <w:color w:val="auto"/>
          <w:sz w:val="24"/>
          <w:szCs w:val="24"/>
          <w:highlight w:val="none"/>
        </w:rPr>
        <w:t>并上传电子投标文件。</w:t>
      </w:r>
      <w:bookmarkStart w:id="126" w:name="_Toc20823298"/>
      <w:bookmarkStart w:id="127" w:name="_Toc513029226"/>
      <w:bookmarkStart w:id="128" w:name="_Toc16938542"/>
    </w:p>
    <w:p w14:paraId="7525DAF9">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17.2</w:t>
      </w:r>
      <w:r>
        <w:rPr>
          <w:rFonts w:hint="eastAsia" w:ascii="宋体" w:hAnsi="宋体"/>
          <w:b/>
          <w:color w:val="auto"/>
          <w:sz w:val="24"/>
          <w:szCs w:val="24"/>
          <w:highlight w:val="none"/>
        </w:rPr>
        <w:t>中标人在领取中标通知书之前，必须提供五份与电子投标文件一致的纸质打印投标文件并且加盖投标人公章。</w:t>
      </w:r>
    </w:p>
    <w:p w14:paraId="1C858EAC">
      <w:pPr>
        <w:spacing w:line="460" w:lineRule="exact"/>
        <w:ind w:firstLine="480"/>
        <w:rPr>
          <w:rFonts w:hint="eastAsia" w:ascii="宋体" w:hAnsi="宋体"/>
          <w:color w:val="auto"/>
          <w:sz w:val="24"/>
          <w:szCs w:val="24"/>
          <w:highlight w:val="none"/>
        </w:rPr>
      </w:pPr>
      <w:r>
        <w:rPr>
          <w:rFonts w:ascii="宋体" w:hAnsi="宋体"/>
          <w:b/>
          <w:color w:val="auto"/>
          <w:sz w:val="24"/>
          <w:szCs w:val="24"/>
          <w:highlight w:val="none"/>
        </w:rPr>
        <w:t>1</w:t>
      </w:r>
      <w:r>
        <w:rPr>
          <w:rFonts w:hint="eastAsia" w:ascii="宋体" w:hAnsi="宋体"/>
          <w:b/>
          <w:color w:val="auto"/>
          <w:sz w:val="24"/>
          <w:szCs w:val="24"/>
          <w:highlight w:val="none"/>
        </w:rPr>
        <w:t>8、投标截止日期</w:t>
      </w:r>
      <w:bookmarkEnd w:id="126"/>
      <w:bookmarkEnd w:id="127"/>
      <w:bookmarkEnd w:id="128"/>
    </w:p>
    <w:p w14:paraId="1B69856F">
      <w:pPr>
        <w:spacing w:line="460" w:lineRule="exact"/>
        <w:ind w:firstLine="480"/>
        <w:rPr>
          <w:rFonts w:hint="eastAsia" w:ascii="宋体" w:hAnsi="宋体"/>
          <w:b/>
          <w:i/>
          <w:iCs/>
          <w:color w:val="auto"/>
          <w:sz w:val="24"/>
          <w:szCs w:val="24"/>
          <w:highlight w:val="none"/>
          <w:u w:val="single"/>
        </w:rPr>
      </w:pPr>
      <w:r>
        <w:rPr>
          <w:rFonts w:ascii="宋体" w:hAnsi="宋体"/>
          <w:b/>
          <w:i/>
          <w:iCs/>
          <w:color w:val="auto"/>
          <w:sz w:val="24"/>
          <w:szCs w:val="24"/>
          <w:highlight w:val="none"/>
          <w:u w:val="single"/>
        </w:rPr>
        <w:t>1</w:t>
      </w:r>
      <w:r>
        <w:rPr>
          <w:rFonts w:hint="eastAsia" w:ascii="宋体" w:hAnsi="宋体"/>
          <w:b/>
          <w:i/>
          <w:iCs/>
          <w:color w:val="auto"/>
          <w:sz w:val="24"/>
          <w:szCs w:val="24"/>
          <w:highlight w:val="none"/>
          <w:u w:val="single"/>
        </w:rPr>
        <w:t>8.1 投标人上传电子投标文件的时间不得迟于招标公告中规定的投标截止时间。</w:t>
      </w:r>
    </w:p>
    <w:p w14:paraId="4BE9B8B0">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投标人应充分考虑到网络环境、网络带宽等风险因素，如因投标人自身原因造成的电子投标文件上传不成功的按照本招标文件第二章第</w:t>
      </w:r>
      <w:r>
        <w:rPr>
          <w:rFonts w:hint="eastAsia" w:ascii="宋体" w:hAnsi="宋体"/>
          <w:color w:val="auto"/>
          <w:sz w:val="24"/>
          <w:szCs w:val="24"/>
          <w:highlight w:val="none"/>
          <w:lang w:val="en-US" w:eastAsia="zh-CN"/>
        </w:rPr>
        <w:t>26</w:t>
      </w:r>
      <w:r>
        <w:rPr>
          <w:rFonts w:hint="eastAsia" w:ascii="宋体" w:hAnsi="宋体"/>
          <w:color w:val="auto"/>
          <w:sz w:val="24"/>
          <w:szCs w:val="24"/>
          <w:highlight w:val="none"/>
        </w:rPr>
        <w:t>.1.2条规定做无效投标处理。</w:t>
      </w:r>
    </w:p>
    <w:p w14:paraId="0DD700D0">
      <w:pPr>
        <w:spacing w:line="460" w:lineRule="exact"/>
        <w:ind w:firstLine="480"/>
        <w:rPr>
          <w:rFonts w:hint="eastAsia"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8.2 采购人及采购代理机构可以按照规定，通过修改招标文件酌情延长投标截止日期，在此情况下，投标人的所有权利和义务以及投标人受制的截止日期均应以延长后新的截止日期为准。</w:t>
      </w:r>
    </w:p>
    <w:p w14:paraId="07A6BC2A">
      <w:pPr>
        <w:spacing w:line="460" w:lineRule="exact"/>
        <w:ind w:firstLine="480"/>
        <w:rPr>
          <w:rFonts w:hint="eastAsia" w:ascii="宋体" w:hAnsi="宋体"/>
          <w:b/>
          <w:color w:val="auto"/>
          <w:sz w:val="24"/>
          <w:szCs w:val="24"/>
          <w:highlight w:val="none"/>
        </w:rPr>
      </w:pPr>
      <w:bookmarkStart w:id="129" w:name="_Toc16938543"/>
      <w:bookmarkStart w:id="130" w:name="_Toc513029227"/>
      <w:bookmarkStart w:id="131" w:name="_Toc20823299"/>
      <w:r>
        <w:rPr>
          <w:rFonts w:hint="eastAsia" w:ascii="宋体" w:hAnsi="宋体"/>
          <w:b/>
          <w:color w:val="auto"/>
          <w:sz w:val="24"/>
          <w:szCs w:val="24"/>
          <w:highlight w:val="none"/>
        </w:rPr>
        <w:t>19、投标文件</w:t>
      </w:r>
      <w:bookmarkEnd w:id="129"/>
      <w:bookmarkEnd w:id="130"/>
      <w:bookmarkEnd w:id="131"/>
      <w:r>
        <w:rPr>
          <w:rFonts w:hint="eastAsia" w:ascii="宋体" w:hAnsi="宋体"/>
          <w:b/>
          <w:color w:val="auto"/>
          <w:sz w:val="24"/>
          <w:szCs w:val="24"/>
          <w:highlight w:val="none"/>
        </w:rPr>
        <w:t>的拒收</w:t>
      </w:r>
    </w:p>
    <w:p w14:paraId="3CCCC0C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19.1 采购人及采购代理机构拒绝接收在其规定的投标截止时间后上传的任何投标文件。</w:t>
      </w:r>
    </w:p>
    <w:p w14:paraId="62CF3CA2">
      <w:pPr>
        <w:spacing w:line="460" w:lineRule="exact"/>
        <w:ind w:firstLine="480"/>
        <w:rPr>
          <w:rFonts w:hint="eastAsia" w:ascii="宋体" w:hAnsi="宋体"/>
          <w:b/>
          <w:color w:val="auto"/>
          <w:sz w:val="24"/>
          <w:szCs w:val="24"/>
          <w:highlight w:val="none"/>
        </w:rPr>
      </w:pPr>
      <w:bookmarkStart w:id="132" w:name="_Toc20823300"/>
      <w:bookmarkStart w:id="133" w:name="_Toc513029228"/>
      <w:bookmarkStart w:id="134" w:name="_Toc16938544"/>
      <w:r>
        <w:rPr>
          <w:rFonts w:hint="eastAsia" w:ascii="宋体" w:hAnsi="宋体"/>
          <w:b/>
          <w:color w:val="auto"/>
          <w:sz w:val="24"/>
          <w:szCs w:val="24"/>
          <w:highlight w:val="none"/>
        </w:rPr>
        <w:t>20、投标文件的撤回和修改</w:t>
      </w:r>
      <w:bookmarkEnd w:id="132"/>
      <w:bookmarkEnd w:id="133"/>
      <w:bookmarkEnd w:id="134"/>
    </w:p>
    <w:p w14:paraId="39486289">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20.1 投标文件的撤回</w:t>
      </w:r>
    </w:p>
    <w:p w14:paraId="7B98F49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20.1.1 电子投标文件的撤回</w:t>
      </w:r>
    </w:p>
    <w:p w14:paraId="3A49EDF7">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投标人可在投标截止时间前，撤回其电子投标文件，具体操作方法见《操作手册》。</w:t>
      </w:r>
    </w:p>
    <w:p w14:paraId="3310F0E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20.1.</w:t>
      </w:r>
      <w:r>
        <w:rPr>
          <w:rFonts w:ascii="宋体" w:hAnsi="宋体"/>
          <w:color w:val="auto"/>
          <w:sz w:val="24"/>
          <w:szCs w:val="24"/>
          <w:highlight w:val="none"/>
        </w:rPr>
        <w:t>2</w:t>
      </w:r>
      <w:r>
        <w:rPr>
          <w:rFonts w:hint="eastAsia" w:ascii="宋体" w:hAnsi="宋体"/>
          <w:color w:val="auto"/>
          <w:sz w:val="24"/>
          <w:szCs w:val="24"/>
          <w:highlight w:val="none"/>
        </w:rPr>
        <w:t xml:space="preserve"> 投标人撤回电子投标文件，则认为其不再参与本项目投标活动。</w:t>
      </w:r>
    </w:p>
    <w:p w14:paraId="6980DE5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20.2 投标文件的修改</w:t>
      </w:r>
    </w:p>
    <w:p w14:paraId="76C6C4F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20.2.1投标人可在投标截止时间前，对其电子投标文件进行修改，具体操作方法见《操作手册》。</w:t>
      </w:r>
    </w:p>
    <w:p w14:paraId="2A901E9B">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w:t>
      </w:r>
      <w:r>
        <w:rPr>
          <w:rFonts w:ascii="宋体" w:hAnsi="宋体"/>
          <w:color w:val="auto"/>
          <w:sz w:val="24"/>
          <w:szCs w:val="24"/>
          <w:highlight w:val="none"/>
        </w:rPr>
        <w:t>2.2</w:t>
      </w:r>
      <w:r>
        <w:rPr>
          <w:rFonts w:hint="eastAsia" w:ascii="宋体" w:hAnsi="宋体"/>
          <w:color w:val="auto"/>
          <w:sz w:val="24"/>
          <w:szCs w:val="24"/>
          <w:highlight w:val="none"/>
        </w:rPr>
        <w:t xml:space="preserve"> 在投标截止时间之后，投标人不得对其电子投标文件作任何修改。</w:t>
      </w:r>
    </w:p>
    <w:p w14:paraId="45D6EC1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20.3 在投标截止时间至招标文件中规定的投标有效期满之间的这段时间内，投标人不得撤回其投标。</w:t>
      </w:r>
    </w:p>
    <w:p w14:paraId="5023F194">
      <w:pPr>
        <w:spacing w:line="460" w:lineRule="exact"/>
        <w:ind w:firstLine="480"/>
        <w:rPr>
          <w:rFonts w:hint="eastAsia" w:ascii="宋体" w:hAnsi="宋体"/>
          <w:b/>
          <w:color w:val="auto"/>
          <w:sz w:val="24"/>
          <w:szCs w:val="24"/>
          <w:highlight w:val="none"/>
        </w:rPr>
      </w:pPr>
      <w:bookmarkStart w:id="135" w:name="_Toc513029229"/>
      <w:bookmarkStart w:id="136" w:name="_Toc20823301"/>
      <w:bookmarkStart w:id="137" w:name="_Toc16938545"/>
      <w:bookmarkStart w:id="138" w:name="_Toc120614218"/>
      <w:r>
        <w:rPr>
          <w:rFonts w:hint="eastAsia" w:ascii="宋体" w:hAnsi="宋体"/>
          <w:b/>
          <w:color w:val="auto"/>
          <w:sz w:val="24"/>
          <w:szCs w:val="24"/>
          <w:highlight w:val="none"/>
        </w:rPr>
        <w:t>五、开标与评标</w:t>
      </w:r>
      <w:bookmarkEnd w:id="135"/>
      <w:bookmarkEnd w:id="136"/>
      <w:bookmarkEnd w:id="137"/>
      <w:bookmarkEnd w:id="138"/>
    </w:p>
    <w:p w14:paraId="5217FFA4">
      <w:pPr>
        <w:spacing w:line="460" w:lineRule="exact"/>
        <w:ind w:firstLine="480"/>
        <w:rPr>
          <w:rFonts w:hint="eastAsia" w:ascii="宋体" w:hAnsi="宋体"/>
          <w:b/>
          <w:color w:val="auto"/>
          <w:sz w:val="24"/>
          <w:szCs w:val="24"/>
          <w:highlight w:val="none"/>
        </w:rPr>
      </w:pPr>
      <w:bookmarkStart w:id="139" w:name="_Toc20823302"/>
      <w:bookmarkStart w:id="140" w:name="_Toc513029230"/>
      <w:bookmarkStart w:id="141" w:name="_Toc16938546"/>
      <w:r>
        <w:rPr>
          <w:rFonts w:hint="eastAsia" w:ascii="宋体" w:hAnsi="宋体"/>
          <w:b/>
          <w:color w:val="auto"/>
          <w:sz w:val="24"/>
          <w:szCs w:val="24"/>
          <w:highlight w:val="none"/>
        </w:rPr>
        <w:t>21、开标</w:t>
      </w:r>
      <w:bookmarkEnd w:id="139"/>
      <w:bookmarkEnd w:id="140"/>
      <w:bookmarkEnd w:id="141"/>
    </w:p>
    <w:p w14:paraId="08ECC34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21.1 采购人或采购代理机构将在招标公告中规定的时间和地点组织公开开标。投标人应当按照《操作手册》规定，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和在苏采云系统规定的时间内对投标文件进行解密。</w:t>
      </w:r>
    </w:p>
    <w:p w14:paraId="2534B2C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21.2开标仪式由采购代理机构组织。苏采云系统将自动对</w:t>
      </w:r>
      <w:r>
        <w:rPr>
          <w:rFonts w:ascii="宋体" w:hAnsi="宋体"/>
          <w:color w:val="auto"/>
          <w:sz w:val="24"/>
          <w:szCs w:val="24"/>
          <w:highlight w:val="none"/>
        </w:rPr>
        <w:t>项目进行开标，</w:t>
      </w:r>
      <w:r>
        <w:rPr>
          <w:rFonts w:hint="eastAsia" w:ascii="宋体" w:hAnsi="宋体"/>
          <w:color w:val="auto"/>
          <w:sz w:val="24"/>
          <w:szCs w:val="24"/>
          <w:highlight w:val="none"/>
        </w:rPr>
        <w:t>并宣布各投标人名称和投标价格。</w:t>
      </w:r>
    </w:p>
    <w:p w14:paraId="6B2EBF6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21.3投标人在开标过程中涉及到的投标文件解密、开标结果确认等工作，应按照《操作手册》规定执行。</w:t>
      </w:r>
    </w:p>
    <w:p w14:paraId="614E13A7">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21.4投标人如果对开标过程和开标记录有疑义，应当根据《操作手册》规定提出，如苏采云系统中《开标记录表》宣布后5分钟内未提出的，视同认可开标结果。</w:t>
      </w:r>
    </w:p>
    <w:p w14:paraId="5EEF746D">
      <w:pPr>
        <w:spacing w:line="460" w:lineRule="exact"/>
        <w:ind w:firstLine="480"/>
        <w:rPr>
          <w:rFonts w:hint="eastAsia" w:ascii="宋体" w:hAnsi="宋体"/>
          <w:b/>
          <w:color w:val="auto"/>
          <w:sz w:val="24"/>
          <w:szCs w:val="24"/>
          <w:highlight w:val="none"/>
        </w:rPr>
      </w:pPr>
      <w:bookmarkStart w:id="142" w:name="_Toc16938547"/>
      <w:bookmarkStart w:id="143" w:name="_Toc513029231"/>
      <w:bookmarkStart w:id="144" w:name="_Toc20823303"/>
      <w:r>
        <w:rPr>
          <w:rFonts w:hint="eastAsia" w:ascii="宋体" w:hAnsi="宋体"/>
          <w:b/>
          <w:color w:val="auto"/>
          <w:sz w:val="24"/>
          <w:szCs w:val="24"/>
          <w:highlight w:val="none"/>
        </w:rPr>
        <w:t>22、评标委员会</w:t>
      </w:r>
    </w:p>
    <w:p w14:paraId="51F76979">
      <w:pPr>
        <w:spacing w:line="460" w:lineRule="exact"/>
        <w:ind w:firstLine="480"/>
        <w:rPr>
          <w:rFonts w:hint="eastAsia" w:ascii="宋体" w:hAnsi="宋体"/>
          <w:b/>
          <w:color w:val="auto"/>
          <w:sz w:val="24"/>
          <w:szCs w:val="24"/>
          <w:highlight w:val="none"/>
        </w:rPr>
      </w:pPr>
      <w:r>
        <w:rPr>
          <w:rFonts w:hint="eastAsia" w:ascii="宋体" w:hAnsi="宋体"/>
          <w:color w:val="auto"/>
          <w:sz w:val="24"/>
          <w:szCs w:val="24"/>
          <w:highlight w:val="none"/>
        </w:rPr>
        <w:t>22.1 开标后，采购人将立即组织评标委员会（以下简称评委会）进行评标。</w:t>
      </w:r>
    </w:p>
    <w:p w14:paraId="174F1AAB">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22.2 评委会由采购人代表和有关技术、经济等方面的专家组成，且人员构成符合政府采购有关规定。</w:t>
      </w:r>
    </w:p>
    <w:p w14:paraId="31EEAE8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22.3评委会独立工作，负责评审所有投标文件并确定中标候选人。</w:t>
      </w:r>
    </w:p>
    <w:p w14:paraId="15481E82">
      <w:pPr>
        <w:spacing w:line="46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23、评标过程的保密与公正</w:t>
      </w:r>
      <w:bookmarkEnd w:id="142"/>
      <w:bookmarkEnd w:id="143"/>
      <w:bookmarkEnd w:id="144"/>
    </w:p>
    <w:p w14:paraId="3666D69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23.1凡是与审查、澄清、评价和比较投标的有关资料以及授标建议等，采购人、评委、采购代理机构均不得向投标人或与评标无关的其他人员透露。</w:t>
      </w:r>
    </w:p>
    <w:p w14:paraId="660A067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23.2在评标过程中，投标人不得以任何行为影响评标过程，否则其投标文件将被作为无效投标文件。</w:t>
      </w:r>
    </w:p>
    <w:p w14:paraId="53AA42FF">
      <w:pPr>
        <w:spacing w:line="460" w:lineRule="exact"/>
        <w:ind w:firstLine="480"/>
        <w:rPr>
          <w:rFonts w:hint="eastAsia"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3.</w:t>
      </w:r>
      <w:r>
        <w:rPr>
          <w:rFonts w:ascii="宋体" w:hAnsi="宋体"/>
          <w:color w:val="auto"/>
          <w:sz w:val="24"/>
          <w:szCs w:val="24"/>
          <w:highlight w:val="none"/>
        </w:rPr>
        <w:t>3</w:t>
      </w:r>
      <w:r>
        <w:rPr>
          <w:rFonts w:hint="eastAsia" w:ascii="宋体" w:hAnsi="宋体"/>
          <w:color w:val="auto"/>
          <w:sz w:val="24"/>
          <w:szCs w:val="24"/>
          <w:highlight w:val="none"/>
        </w:rPr>
        <w:t xml:space="preserve"> 采购人、采购代理机构和评标委员会不向未中标的投标人解释未中标原因，也不公布评标过程中的相关细节。</w:t>
      </w:r>
    </w:p>
    <w:p w14:paraId="71D8444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4</w:t>
      </w:r>
      <w:r>
        <w:rPr>
          <w:rFonts w:hint="eastAsia" w:ascii="宋体" w:hAnsi="宋体"/>
          <w:color w:val="auto"/>
          <w:sz w:val="24"/>
          <w:szCs w:val="24"/>
          <w:highlight w:val="none"/>
        </w:rPr>
        <w:t xml:space="preserve"> 采用综合评分法的项目，未中标的投标人可于中标结果公告期限届满之日起通过苏采云系统查看自己的评审得分及排序情况。</w:t>
      </w:r>
    </w:p>
    <w:p w14:paraId="38BB8211">
      <w:pPr>
        <w:spacing w:line="460" w:lineRule="exact"/>
        <w:ind w:firstLine="480"/>
        <w:rPr>
          <w:rFonts w:hint="eastAsia" w:ascii="宋体" w:hAnsi="宋体"/>
          <w:b/>
          <w:color w:val="auto"/>
          <w:sz w:val="24"/>
          <w:szCs w:val="24"/>
          <w:highlight w:val="none"/>
        </w:rPr>
      </w:pPr>
      <w:bookmarkStart w:id="145" w:name="_Toc16938548"/>
      <w:bookmarkStart w:id="146" w:name="_Toc513029232"/>
      <w:bookmarkStart w:id="147" w:name="_Toc20823304"/>
      <w:r>
        <w:rPr>
          <w:rFonts w:hint="eastAsia" w:ascii="宋体" w:hAnsi="宋体"/>
          <w:b/>
          <w:color w:val="auto"/>
          <w:sz w:val="24"/>
          <w:szCs w:val="24"/>
          <w:highlight w:val="none"/>
        </w:rPr>
        <w:t>24、投标文件的澄清</w:t>
      </w:r>
      <w:bookmarkEnd w:id="145"/>
      <w:bookmarkEnd w:id="146"/>
      <w:bookmarkEnd w:id="147"/>
    </w:p>
    <w:p w14:paraId="5AE9F929">
      <w:pPr>
        <w:spacing w:line="460" w:lineRule="exact"/>
        <w:ind w:firstLine="480"/>
        <w:rPr>
          <w:rFonts w:hint="eastAsia" w:ascii="宋体" w:hAnsi="宋体"/>
          <w:color w:val="auto"/>
          <w:sz w:val="24"/>
          <w:szCs w:val="24"/>
          <w:highlight w:val="none"/>
        </w:rPr>
      </w:pPr>
      <w:bookmarkStart w:id="148" w:name="_Toc20823305"/>
      <w:bookmarkStart w:id="149" w:name="_Toc16938549"/>
      <w:bookmarkStart w:id="150" w:name="_Toc513029233"/>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14:paraId="3965CB69">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362CE32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评标</w:t>
      </w:r>
      <w:r>
        <w:rPr>
          <w:rFonts w:ascii="宋体" w:hAnsi="宋体"/>
          <w:color w:val="auto"/>
          <w:sz w:val="24"/>
          <w:szCs w:val="24"/>
          <w:highlight w:val="none"/>
        </w:rPr>
        <w:t>委员会并非对每个投标人都做澄清要求</w:t>
      </w:r>
      <w:r>
        <w:rPr>
          <w:rFonts w:hint="eastAsia" w:ascii="宋体" w:hAnsi="宋体"/>
          <w:color w:val="auto"/>
          <w:sz w:val="24"/>
          <w:szCs w:val="24"/>
          <w:highlight w:val="none"/>
        </w:rPr>
        <w:t>。</w:t>
      </w:r>
    </w:p>
    <w:p w14:paraId="48AB216C">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24.2需要</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进行澄清、说明和补正的，评委会将通过苏采云系统向</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发出“澄清要求函”，接到“澄清要求函”的投标人应当按照要求在苏采云系统中提交“澄清响应函”并加盖CA电子公章。澄清、说明和补正的内容作为投标文件的补充部分，具体操作方式见《操作手册》。</w:t>
      </w:r>
    </w:p>
    <w:p w14:paraId="2E5D17CD">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24.3 接到评委会澄清、说明和补正要求的投标人如未按规定做出澄清、说明和补正，其风险由投标人自行承担。</w:t>
      </w:r>
    </w:p>
    <w:p w14:paraId="7501C59F">
      <w:pPr>
        <w:spacing w:line="46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25、对投标文件的初审</w:t>
      </w:r>
      <w:bookmarkEnd w:id="148"/>
      <w:bookmarkEnd w:id="149"/>
      <w:bookmarkEnd w:id="150"/>
    </w:p>
    <w:p w14:paraId="2D7B33C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25.1投标文件初审分为资格审查和符合性审查。</w:t>
      </w:r>
    </w:p>
    <w:p w14:paraId="26337D13">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25.1.1 资格审查：依据法律法规和招标文件的规定，由采购人或采购代理机构对投标文件中的资格证明文件进行审查。资格审查的结论，采购人以书面形式向评委会进行反馈。</w:t>
      </w:r>
    </w:p>
    <w:p w14:paraId="09D97E40">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采购人或采购代理机构在进行资格性审查的同时，将在“信用中国”网站（www.creditchina.gov.cn）查询投标人的信用记录，以确定投标人是否具备投标资格,查询结果留存并归档。</w:t>
      </w:r>
    </w:p>
    <w:p w14:paraId="3124778F">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接受联合体的项目，两个以上的自然人、法人或者其他组织组成一个联合体，以一个</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的身份共同参加政府采购活动的,联合体成员中任何一方存在不良信用记录的，视同联合体存在不良应用记录。</w:t>
      </w:r>
    </w:p>
    <w:p w14:paraId="63872390">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25.1.2 符合性审查：依据招标文件的规定，由评委会从投标文件的有效性、完整性和对招标文件的响应程度进行审查，以确定是否对招标文件的实质性要求作出响应。</w:t>
      </w:r>
    </w:p>
    <w:p w14:paraId="08AEECC9">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25.1.3 未通过资格审查或符合性审查的投标人，采购人或采购代理机构将在苏采云系统中告知未通过资格审查或符合性审查的原因，评审结束后，采购人或采购代理机构将不再告知未通过资格审查或符合性审查的原因。</w:t>
      </w:r>
    </w:p>
    <w:p w14:paraId="4D445299">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600A777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3E571FF">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25.3如果投标文件实质上没有响应招标文件的要求，评委会将予以拒绝，投标人不得通过修改或撤销不合要求的偏离或保留而使其投标成为实质性响应的投标。</w:t>
      </w:r>
    </w:p>
    <w:p w14:paraId="163FAF8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25.4评委会将对确定为实质性响应的投标进行进一步审核，看其是否有计算上或累加上的算术错误，修正错误的原则如下：</w:t>
      </w:r>
    </w:p>
    <w:p w14:paraId="077687E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（1）投标文件中开标一览表内容与投标文件中相应内容不一致的，以开标一览表为准。</w:t>
      </w:r>
    </w:p>
    <w:p w14:paraId="197C87B3">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（2）大写金额和小写金额不一致的，以大写金额为准。</w:t>
      </w:r>
    </w:p>
    <w:p w14:paraId="5BD73D9E">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（3）单价金额小数点或者百分比有明显错位的，以开标一览表的总价为准，并修改单价。</w:t>
      </w:r>
    </w:p>
    <w:p w14:paraId="1E90EB0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（4）总价金额与按单价汇总金额不一致的，以单价金额计算结果为准。</w:t>
      </w:r>
    </w:p>
    <w:p w14:paraId="5640BA1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同时出现两种以上错误的，按照前款规定的顺序修正。</w:t>
      </w:r>
    </w:p>
    <w:p w14:paraId="3E9F5FF7">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25.5评委会将按上述修正错误的方法调整投标文件中的投标报价，并</w:t>
      </w:r>
      <w:r>
        <w:rPr>
          <w:rFonts w:ascii="宋体" w:hAnsi="宋体"/>
          <w:color w:val="auto"/>
          <w:sz w:val="24"/>
          <w:szCs w:val="24"/>
          <w:highlight w:val="none"/>
        </w:rPr>
        <w:t>通过</w:t>
      </w:r>
      <w:r>
        <w:rPr>
          <w:rFonts w:hint="eastAsia" w:ascii="宋体" w:hAnsi="宋体"/>
          <w:color w:val="auto"/>
          <w:sz w:val="24"/>
          <w:szCs w:val="24"/>
          <w:highlight w:val="none"/>
        </w:rPr>
        <w:t>苏采云系统告知</w:t>
      </w:r>
      <w:r>
        <w:rPr>
          <w:rFonts w:ascii="宋体" w:hAnsi="宋体"/>
          <w:color w:val="auto"/>
          <w:sz w:val="24"/>
          <w:szCs w:val="24"/>
          <w:highlight w:val="none"/>
        </w:rPr>
        <w:t>投标人，</w:t>
      </w:r>
      <w:r>
        <w:rPr>
          <w:rFonts w:hint="eastAsia" w:ascii="宋体" w:hAnsi="宋体"/>
          <w:color w:val="auto"/>
          <w:sz w:val="24"/>
          <w:szCs w:val="24"/>
          <w:highlight w:val="none"/>
        </w:rPr>
        <w:t>调整后的价格应对投标人具有约束力。如果投标人不接受修正后的价格，则其投标将被拒绝。</w:t>
      </w:r>
    </w:p>
    <w:p w14:paraId="1A9148AB">
      <w:pPr>
        <w:spacing w:line="460" w:lineRule="exact"/>
        <w:ind w:firstLine="480"/>
        <w:rPr>
          <w:rFonts w:hint="eastAsia" w:ascii="宋体" w:hAnsi="宋体"/>
          <w:color w:val="auto"/>
          <w:sz w:val="24"/>
          <w:szCs w:val="24"/>
          <w:highlight w:val="none"/>
        </w:rPr>
      </w:pPr>
      <w:bookmarkStart w:id="151" w:name="_Toc20823306"/>
      <w:bookmarkStart w:id="152" w:name="_Toc513029234"/>
      <w:bookmarkStart w:id="153" w:name="_Toc16938550"/>
      <w:r>
        <w:rPr>
          <w:rFonts w:hint="eastAsia" w:ascii="宋体" w:hAnsi="宋体"/>
          <w:color w:val="auto"/>
          <w:sz w:val="24"/>
          <w:szCs w:val="24"/>
          <w:highlight w:val="none"/>
        </w:rPr>
        <w:t>25.6投标人在开、评标全过程中应保持通讯畅通，及时登录苏采云系统查阅</w:t>
      </w:r>
      <w:r>
        <w:rPr>
          <w:rFonts w:ascii="宋体" w:hAnsi="宋体"/>
          <w:color w:val="auto"/>
          <w:sz w:val="24"/>
          <w:szCs w:val="24"/>
          <w:highlight w:val="none"/>
        </w:rPr>
        <w:t>、答复相关</w:t>
      </w:r>
      <w:r>
        <w:rPr>
          <w:rFonts w:hint="eastAsia" w:ascii="宋体" w:hAnsi="宋体"/>
          <w:color w:val="auto"/>
          <w:sz w:val="24"/>
          <w:szCs w:val="24"/>
          <w:highlight w:val="none"/>
        </w:rPr>
        <w:t>信息</w:t>
      </w:r>
      <w:r>
        <w:rPr>
          <w:rFonts w:ascii="宋体" w:hAnsi="宋体"/>
          <w:color w:val="auto"/>
          <w:sz w:val="24"/>
          <w:szCs w:val="24"/>
          <w:highlight w:val="none"/>
        </w:rPr>
        <w:t>，</w:t>
      </w:r>
      <w:r>
        <w:rPr>
          <w:rFonts w:hint="eastAsia" w:ascii="宋体" w:hAnsi="宋体"/>
          <w:color w:val="auto"/>
          <w:sz w:val="24"/>
          <w:szCs w:val="24"/>
          <w:highlight w:val="none"/>
        </w:rPr>
        <w:t>并安排专人与采购代理机构及评标委员会联系。</w:t>
      </w:r>
    </w:p>
    <w:p w14:paraId="17636BB8">
      <w:pPr>
        <w:spacing w:line="46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26、</w:t>
      </w:r>
      <w:bookmarkEnd w:id="151"/>
      <w:bookmarkEnd w:id="152"/>
      <w:bookmarkEnd w:id="153"/>
      <w:r>
        <w:rPr>
          <w:rFonts w:hint="eastAsia" w:ascii="宋体" w:hAnsi="宋体"/>
          <w:b/>
          <w:color w:val="auto"/>
          <w:sz w:val="24"/>
          <w:szCs w:val="24"/>
          <w:highlight w:val="none"/>
        </w:rPr>
        <w:t>无效投标条款和废标条款</w:t>
      </w:r>
    </w:p>
    <w:p w14:paraId="33483E24">
      <w:pPr>
        <w:spacing w:line="460" w:lineRule="exact"/>
        <w:ind w:firstLine="480"/>
        <w:rPr>
          <w:rFonts w:hint="eastAsia" w:ascii="宋体" w:hAnsi="宋体"/>
          <w:color w:val="auto"/>
          <w:sz w:val="24"/>
          <w:szCs w:val="24"/>
          <w:highlight w:val="none"/>
        </w:rPr>
      </w:pPr>
      <w:bookmarkStart w:id="154" w:name="_Toc20823307"/>
      <w:bookmarkStart w:id="155" w:name="_Toc513029235"/>
      <w:bookmarkStart w:id="156" w:name="_Toc16938551"/>
      <w:r>
        <w:rPr>
          <w:rFonts w:hint="eastAsia" w:ascii="宋体" w:hAnsi="宋体"/>
          <w:color w:val="auto"/>
          <w:sz w:val="24"/>
          <w:szCs w:val="24"/>
          <w:highlight w:val="none"/>
        </w:rPr>
        <w:t>26.1无效投标条款</w:t>
      </w:r>
    </w:p>
    <w:p w14:paraId="5F6FEE06">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26.1.1 投标人在苏采云系统规定的时间内未成功解密电子投标文件的。</w:t>
      </w:r>
    </w:p>
    <w:p w14:paraId="481F9843">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w:t>
      </w:r>
      <w:r>
        <w:rPr>
          <w:rFonts w:ascii="宋体" w:hAnsi="宋体"/>
          <w:color w:val="auto"/>
          <w:sz w:val="24"/>
          <w:szCs w:val="24"/>
          <w:highlight w:val="none"/>
        </w:rPr>
        <w:t>2</w:t>
      </w:r>
      <w:r>
        <w:rPr>
          <w:rFonts w:hint="eastAsia" w:ascii="宋体" w:hAnsi="宋体"/>
          <w:color w:val="auto"/>
          <w:sz w:val="24"/>
          <w:szCs w:val="24"/>
          <w:highlight w:val="none"/>
        </w:rPr>
        <w:t xml:space="preserve"> 投标人未按照招标文件要求上传电子投标文件的。</w:t>
      </w:r>
    </w:p>
    <w:p w14:paraId="7B0CCC1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w:t>
      </w:r>
      <w:r>
        <w:rPr>
          <w:rFonts w:ascii="宋体" w:hAnsi="宋体"/>
          <w:color w:val="auto"/>
          <w:sz w:val="24"/>
          <w:szCs w:val="24"/>
          <w:highlight w:val="none"/>
        </w:rPr>
        <w:t>3</w:t>
      </w:r>
      <w:r>
        <w:rPr>
          <w:rFonts w:hint="eastAsia" w:ascii="宋体" w:hAnsi="宋体"/>
          <w:color w:val="auto"/>
          <w:sz w:val="24"/>
          <w:szCs w:val="24"/>
          <w:highlight w:val="none"/>
        </w:rPr>
        <w:t>同一投标人提交两个</w:t>
      </w:r>
      <w:r>
        <w:rPr>
          <w:rFonts w:ascii="宋体" w:hAnsi="宋体"/>
          <w:color w:val="auto"/>
          <w:sz w:val="24"/>
          <w:szCs w:val="24"/>
          <w:highlight w:val="none"/>
        </w:rPr>
        <w:t>（</w:t>
      </w:r>
      <w:r>
        <w:rPr>
          <w:rFonts w:hint="eastAsia" w:ascii="宋体" w:hAnsi="宋体"/>
          <w:color w:val="auto"/>
          <w:sz w:val="24"/>
          <w:szCs w:val="24"/>
          <w:highlight w:val="none"/>
        </w:rPr>
        <w:t>含</w:t>
      </w:r>
      <w:r>
        <w:rPr>
          <w:rFonts w:ascii="宋体" w:hAnsi="宋体"/>
          <w:color w:val="auto"/>
          <w:sz w:val="24"/>
          <w:szCs w:val="24"/>
          <w:highlight w:val="none"/>
        </w:rPr>
        <w:t>两个）</w:t>
      </w:r>
      <w:r>
        <w:rPr>
          <w:rFonts w:hint="eastAsia" w:ascii="宋体" w:hAnsi="宋体"/>
          <w:color w:val="auto"/>
          <w:sz w:val="24"/>
          <w:szCs w:val="24"/>
          <w:highlight w:val="none"/>
        </w:rPr>
        <w:t>以上不同的</w:t>
      </w:r>
      <w:r>
        <w:rPr>
          <w:rFonts w:ascii="宋体" w:hAnsi="宋体"/>
          <w:color w:val="auto"/>
          <w:sz w:val="24"/>
          <w:szCs w:val="24"/>
          <w:highlight w:val="none"/>
        </w:rPr>
        <w:t>投标报价的。</w:t>
      </w:r>
    </w:p>
    <w:p w14:paraId="72218BD0">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w:t>
      </w:r>
      <w:r>
        <w:rPr>
          <w:rFonts w:ascii="宋体" w:hAnsi="宋体"/>
          <w:color w:val="auto"/>
          <w:sz w:val="24"/>
          <w:szCs w:val="24"/>
          <w:highlight w:val="none"/>
        </w:rPr>
        <w:t>4</w:t>
      </w:r>
      <w:r>
        <w:rPr>
          <w:rFonts w:hint="eastAsia" w:ascii="宋体" w:hAnsi="宋体"/>
          <w:color w:val="auto"/>
          <w:sz w:val="24"/>
          <w:szCs w:val="24"/>
          <w:highlight w:val="none"/>
        </w:rPr>
        <w:t>投标人不具备招标文件中规定资格要求的。</w:t>
      </w:r>
    </w:p>
    <w:p w14:paraId="408E86DF">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w:t>
      </w:r>
      <w:r>
        <w:rPr>
          <w:rFonts w:ascii="宋体" w:hAnsi="宋体"/>
          <w:color w:val="auto"/>
          <w:sz w:val="24"/>
          <w:szCs w:val="24"/>
          <w:highlight w:val="none"/>
        </w:rPr>
        <w:t>5</w:t>
      </w:r>
      <w:r>
        <w:rPr>
          <w:rFonts w:hint="eastAsia" w:ascii="宋体" w:hAnsi="宋体"/>
          <w:color w:val="auto"/>
          <w:sz w:val="24"/>
          <w:szCs w:val="24"/>
          <w:highlight w:val="none"/>
        </w:rPr>
        <w:t>投标人的报价超过了采购预算或最高限价的。</w:t>
      </w:r>
    </w:p>
    <w:p w14:paraId="736C371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w:t>
      </w:r>
      <w:r>
        <w:rPr>
          <w:rFonts w:ascii="宋体" w:hAnsi="宋体"/>
          <w:color w:val="auto"/>
          <w:sz w:val="24"/>
          <w:szCs w:val="24"/>
          <w:highlight w:val="none"/>
        </w:rPr>
        <w:t>6</w:t>
      </w:r>
      <w:r>
        <w:rPr>
          <w:rFonts w:hint="eastAsia" w:ascii="宋体" w:hAnsi="宋体"/>
          <w:color w:val="auto"/>
          <w:sz w:val="24"/>
          <w:szCs w:val="24"/>
          <w:highlight w:val="none"/>
        </w:rPr>
        <w:t>未通过符合性审查的。</w:t>
      </w:r>
    </w:p>
    <w:p w14:paraId="5D0F3767">
      <w:pPr>
        <w:spacing w:line="460" w:lineRule="exact"/>
        <w:ind w:firstLine="480"/>
        <w:rPr>
          <w:rFonts w:hint="eastAsia" w:ascii="宋体" w:hAnsi="宋体"/>
          <w:i/>
          <w:iCs/>
          <w:color w:val="auto"/>
          <w:sz w:val="24"/>
          <w:szCs w:val="24"/>
          <w:highlight w:val="none"/>
          <w:u w:val="single"/>
        </w:rPr>
      </w:pPr>
      <w:r>
        <w:rPr>
          <w:rFonts w:hint="eastAsia" w:ascii="宋体" w:hAnsi="宋体"/>
          <w:color w:val="auto"/>
          <w:sz w:val="24"/>
          <w:szCs w:val="24"/>
          <w:highlight w:val="none"/>
        </w:rPr>
        <w:t>26.1.</w:t>
      </w:r>
      <w:r>
        <w:rPr>
          <w:rFonts w:ascii="宋体" w:hAnsi="宋体"/>
          <w:color w:val="auto"/>
          <w:sz w:val="24"/>
          <w:szCs w:val="24"/>
          <w:highlight w:val="none"/>
        </w:rPr>
        <w:t>7</w:t>
      </w:r>
      <w:r>
        <w:rPr>
          <w:rFonts w:hint="eastAsia" w:ascii="宋体" w:hAnsi="宋体"/>
          <w:color w:val="auto"/>
          <w:sz w:val="24"/>
          <w:szCs w:val="24"/>
          <w:highlight w:val="none"/>
        </w:rPr>
        <w:t>不符合招标文件中规定的实质性要求和条件的</w:t>
      </w:r>
      <w:r>
        <w:rPr>
          <w:rFonts w:hint="eastAsia" w:ascii="宋体" w:hAnsi="宋体"/>
          <w:i/>
          <w:iCs/>
          <w:color w:val="auto"/>
          <w:sz w:val="24"/>
          <w:szCs w:val="24"/>
          <w:highlight w:val="none"/>
          <w:u w:val="single"/>
        </w:rPr>
        <w:t>（本招标文件中斜体且有下划线部分为实质性要求和条件）。</w:t>
      </w:r>
    </w:p>
    <w:p w14:paraId="05D2B86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w:t>
      </w:r>
      <w:r>
        <w:rPr>
          <w:rFonts w:ascii="宋体" w:hAnsi="宋体"/>
          <w:color w:val="auto"/>
          <w:sz w:val="24"/>
          <w:szCs w:val="24"/>
          <w:highlight w:val="none"/>
        </w:rPr>
        <w:t>8</w:t>
      </w:r>
      <w:r>
        <w:rPr>
          <w:rFonts w:hint="eastAsia" w:ascii="宋体" w:hAnsi="宋体"/>
          <w:color w:val="auto"/>
          <w:sz w:val="24"/>
          <w:szCs w:val="24"/>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94B77C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w:t>
      </w:r>
      <w:r>
        <w:rPr>
          <w:rFonts w:ascii="宋体" w:hAnsi="宋体"/>
          <w:color w:val="auto"/>
          <w:sz w:val="24"/>
          <w:szCs w:val="24"/>
          <w:highlight w:val="none"/>
        </w:rPr>
        <w:t>9</w:t>
      </w:r>
      <w:r>
        <w:rPr>
          <w:rFonts w:hint="eastAsia" w:ascii="宋体" w:hAnsi="宋体"/>
          <w:color w:val="auto"/>
          <w:sz w:val="24"/>
          <w:szCs w:val="24"/>
          <w:highlight w:val="none"/>
        </w:rPr>
        <w:t xml:space="preserve">  投标文件含有采购人不能接受的附加条件的。</w:t>
      </w:r>
    </w:p>
    <w:p w14:paraId="57892C9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w:t>
      </w:r>
      <w:r>
        <w:rPr>
          <w:rFonts w:ascii="宋体" w:hAnsi="宋体"/>
          <w:color w:val="auto"/>
          <w:sz w:val="24"/>
          <w:szCs w:val="24"/>
          <w:highlight w:val="none"/>
        </w:rPr>
        <w:t>10</w:t>
      </w:r>
      <w:r>
        <w:rPr>
          <w:rFonts w:hint="eastAsia" w:ascii="宋体" w:hAnsi="宋体"/>
          <w:color w:val="auto"/>
          <w:sz w:val="24"/>
          <w:szCs w:val="24"/>
          <w:highlight w:val="none"/>
        </w:rPr>
        <w:t>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7671458B">
      <w:p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根据江苏省财政厅《关于推动解决政府采购异常低价问题相关工作的通知》（苏财购〔2025〕62号）的规定要求：</w:t>
      </w:r>
    </w:p>
    <w:p w14:paraId="7C8AA04C">
      <w:p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26.1.10.1评审过程中出现下列情形之一的，评审委员会应当启动异常低价投标（响应）审查程序：</w:t>
      </w:r>
    </w:p>
    <w:p w14:paraId="0C0FA918">
      <w:p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26.1.10.1.1投标（响应）报价低于采购项目预算 50% 的，即投标（响应）报价&lt;采购项目预算×50% ；</w:t>
      </w:r>
    </w:p>
    <w:p w14:paraId="044927BC">
      <w:p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26.1.10.1.2投标（响应）报价低于采购项目最高限价 45% 的，即投标（响应）报价&lt;采购项目最高限价×45% ；</w:t>
      </w:r>
    </w:p>
    <w:p w14:paraId="12112CA4">
      <w:p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26.1.10.1.3评审委员会认定的</w:t>
      </w:r>
      <w:r>
        <w:rPr>
          <w:rFonts w:hint="eastAsia" w:ascii="宋体" w:hAnsi="宋体"/>
          <w:b/>
          <w:bCs/>
          <w:color w:val="auto"/>
          <w:sz w:val="24"/>
          <w:szCs w:val="24"/>
          <w:highlight w:val="none"/>
          <w:lang w:eastAsia="zh-CN"/>
        </w:rPr>
        <w:t>投标人</w:t>
      </w:r>
      <w:r>
        <w:rPr>
          <w:rFonts w:hint="eastAsia" w:ascii="宋体" w:hAnsi="宋体"/>
          <w:b/>
          <w:bCs/>
          <w:color w:val="auto"/>
          <w:sz w:val="24"/>
          <w:szCs w:val="24"/>
          <w:highlight w:val="none"/>
        </w:rPr>
        <w:t>报价过低、有可能影响产品质量或者不能诚信履约的其他情形。</w:t>
      </w:r>
    </w:p>
    <w:p w14:paraId="1CD082CB">
      <w:p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26.1.10.2启动异常低价投标（响应）审查后，评审委员会应当要求相关</w:t>
      </w:r>
      <w:r>
        <w:rPr>
          <w:rFonts w:hint="eastAsia" w:ascii="宋体" w:hAnsi="宋体"/>
          <w:b/>
          <w:bCs/>
          <w:color w:val="auto"/>
          <w:sz w:val="24"/>
          <w:szCs w:val="24"/>
          <w:highlight w:val="none"/>
          <w:lang w:eastAsia="zh-CN"/>
        </w:rPr>
        <w:t>投标人</w:t>
      </w:r>
      <w:r>
        <w:rPr>
          <w:rFonts w:hint="eastAsia" w:ascii="宋体" w:hAnsi="宋体"/>
          <w:b/>
          <w:bCs/>
          <w:color w:val="auto"/>
          <w:sz w:val="24"/>
          <w:szCs w:val="24"/>
          <w:highlight w:val="none"/>
        </w:rPr>
        <w:t>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ascii="宋体" w:hAnsi="宋体"/>
          <w:b/>
          <w:bCs/>
          <w:color w:val="auto"/>
          <w:sz w:val="24"/>
          <w:szCs w:val="24"/>
          <w:highlight w:val="none"/>
          <w:lang w:eastAsia="zh-CN"/>
        </w:rPr>
        <w:t>投标人</w:t>
      </w:r>
      <w:r>
        <w:rPr>
          <w:rFonts w:hint="eastAsia" w:ascii="宋体" w:hAnsi="宋体"/>
          <w:b/>
          <w:bCs/>
          <w:color w:val="auto"/>
          <w:sz w:val="24"/>
          <w:szCs w:val="24"/>
          <w:highlight w:val="none"/>
        </w:rPr>
        <w:t>报价合理性进行判断。投标（响应）</w:t>
      </w:r>
      <w:r>
        <w:rPr>
          <w:rFonts w:hint="eastAsia" w:ascii="宋体" w:hAnsi="宋体"/>
          <w:b/>
          <w:bCs/>
          <w:color w:val="auto"/>
          <w:sz w:val="24"/>
          <w:szCs w:val="24"/>
          <w:highlight w:val="none"/>
          <w:lang w:eastAsia="zh-CN"/>
        </w:rPr>
        <w:t>投标人</w:t>
      </w:r>
      <w:r>
        <w:rPr>
          <w:rFonts w:hint="eastAsia" w:ascii="宋体" w:hAnsi="宋体"/>
          <w:b/>
          <w:bCs/>
          <w:color w:val="auto"/>
          <w:sz w:val="24"/>
          <w:szCs w:val="24"/>
          <w:highlight w:val="none"/>
        </w:rPr>
        <w:t>不提供书面说明、证明材料，或者提供的书面说明、证明材料不能证明其报价合理性的，评审委员会应当将其作为无效投标（响应）处理。审查相关情况应当在评审报告中进行记录。</w:t>
      </w:r>
    </w:p>
    <w:p w14:paraId="041E77CE">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26.1.11 投标文件未按照招标文件要求加盖CA电子公章的。</w:t>
      </w:r>
    </w:p>
    <w:p w14:paraId="012FE06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26.1.12其他法律、法规及本招标文件规定的属无效投标的情形。</w:t>
      </w:r>
    </w:p>
    <w:p w14:paraId="2594C5A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26.2废标条款</w:t>
      </w:r>
    </w:p>
    <w:p w14:paraId="22D59B28">
      <w:pPr>
        <w:spacing w:line="460" w:lineRule="exact"/>
        <w:ind w:left="479"/>
        <w:rPr>
          <w:rFonts w:hint="eastAsia" w:ascii="宋体" w:hAnsi="宋体"/>
          <w:color w:val="auto"/>
          <w:sz w:val="24"/>
          <w:szCs w:val="24"/>
          <w:highlight w:val="none"/>
        </w:rPr>
      </w:pPr>
      <w:r>
        <w:rPr>
          <w:rFonts w:hint="eastAsia" w:ascii="宋体" w:hAnsi="宋体"/>
          <w:color w:val="auto"/>
          <w:sz w:val="24"/>
          <w:szCs w:val="24"/>
          <w:highlight w:val="none"/>
        </w:rPr>
        <w:t>26.2.1符合专业条件的</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或者对招标文件作实质响应的</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不足三家的。26.2.2出现影响采购公正的违法、违规行为的。</w:t>
      </w:r>
    </w:p>
    <w:p w14:paraId="39BA0957">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26.2.3因重大变故，采购任务取消的。</w:t>
      </w:r>
    </w:p>
    <w:p w14:paraId="7836F033">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26.2.4评标委员会认定招标文件存在歧义、重大缺陷导致评审工作无法进行。</w:t>
      </w:r>
    </w:p>
    <w:p w14:paraId="78AC088D">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26.2.5 因苏采云系统</w:t>
      </w:r>
      <w:r>
        <w:rPr>
          <w:rFonts w:ascii="宋体" w:hAnsi="宋体"/>
          <w:color w:val="auto"/>
          <w:sz w:val="24"/>
          <w:szCs w:val="24"/>
          <w:highlight w:val="none"/>
        </w:rPr>
        <w:t>系统故障原因造成开标不成功</w:t>
      </w:r>
      <w:r>
        <w:rPr>
          <w:rFonts w:hint="eastAsia" w:ascii="宋体" w:hAnsi="宋体"/>
          <w:color w:val="auto"/>
          <w:sz w:val="24"/>
          <w:szCs w:val="24"/>
          <w:highlight w:val="none"/>
        </w:rPr>
        <w:t>的</w:t>
      </w:r>
      <w:r>
        <w:rPr>
          <w:rFonts w:ascii="宋体" w:hAnsi="宋体"/>
          <w:color w:val="auto"/>
          <w:sz w:val="24"/>
          <w:szCs w:val="24"/>
          <w:highlight w:val="none"/>
        </w:rPr>
        <w:t>。</w:t>
      </w:r>
    </w:p>
    <w:p w14:paraId="1E38C6F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26.3 投标截止时间结束后参加投标的</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不足三家的处理：</w:t>
      </w:r>
    </w:p>
    <w:p w14:paraId="4328BDC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26.3.1如出现投标截止时间结束后参加投标的</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或者在评标期间对招标文件做出实质响应的</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不足三家情况，按政府采购相关规定执行。</w:t>
      </w:r>
    </w:p>
    <w:p w14:paraId="2E155037">
      <w:pPr>
        <w:spacing w:line="460" w:lineRule="exact"/>
        <w:ind w:firstLine="480"/>
        <w:rPr>
          <w:rFonts w:hint="eastAsia" w:ascii="宋体" w:hAnsi="宋体"/>
          <w:b/>
          <w:color w:val="auto"/>
          <w:sz w:val="24"/>
          <w:szCs w:val="24"/>
          <w:highlight w:val="none"/>
        </w:rPr>
      </w:pPr>
      <w:bookmarkStart w:id="157" w:name="_Toc120614219"/>
      <w:r>
        <w:rPr>
          <w:rFonts w:hint="eastAsia" w:ascii="宋体" w:hAnsi="宋体"/>
          <w:b/>
          <w:color w:val="auto"/>
          <w:sz w:val="24"/>
          <w:szCs w:val="24"/>
          <w:highlight w:val="none"/>
        </w:rPr>
        <w:t>六、</w:t>
      </w:r>
      <w:bookmarkEnd w:id="154"/>
      <w:bookmarkEnd w:id="155"/>
      <w:bookmarkEnd w:id="156"/>
      <w:r>
        <w:rPr>
          <w:rFonts w:hint="eastAsia" w:ascii="宋体" w:hAnsi="宋体"/>
          <w:b/>
          <w:color w:val="auto"/>
          <w:sz w:val="24"/>
          <w:szCs w:val="24"/>
          <w:highlight w:val="none"/>
        </w:rPr>
        <w:t>定标</w:t>
      </w:r>
      <w:bookmarkEnd w:id="157"/>
    </w:p>
    <w:p w14:paraId="5084EED5">
      <w:pPr>
        <w:spacing w:line="460" w:lineRule="exact"/>
        <w:ind w:firstLine="480"/>
        <w:rPr>
          <w:rFonts w:hint="eastAsia" w:ascii="宋体" w:hAnsi="宋体"/>
          <w:b/>
          <w:color w:val="auto"/>
          <w:sz w:val="24"/>
          <w:szCs w:val="24"/>
          <w:highlight w:val="none"/>
        </w:rPr>
      </w:pPr>
      <w:bookmarkStart w:id="158" w:name="_Toc513029238"/>
      <w:bookmarkStart w:id="159" w:name="_Toc20823310"/>
      <w:bookmarkStart w:id="160" w:name="_Toc16938554"/>
      <w:r>
        <w:rPr>
          <w:rFonts w:hint="eastAsia" w:ascii="宋体" w:hAnsi="宋体"/>
          <w:b/>
          <w:color w:val="auto"/>
          <w:sz w:val="24"/>
          <w:szCs w:val="24"/>
          <w:highlight w:val="none"/>
        </w:rPr>
        <w:t>27、</w:t>
      </w:r>
      <w:bookmarkEnd w:id="158"/>
      <w:r>
        <w:rPr>
          <w:rFonts w:hint="eastAsia" w:ascii="宋体" w:hAnsi="宋体"/>
          <w:b/>
          <w:color w:val="auto"/>
          <w:sz w:val="24"/>
          <w:szCs w:val="24"/>
          <w:highlight w:val="none"/>
        </w:rPr>
        <w:t>确定</w:t>
      </w:r>
      <w:bookmarkEnd w:id="159"/>
      <w:bookmarkEnd w:id="160"/>
      <w:r>
        <w:rPr>
          <w:rFonts w:hint="eastAsia" w:ascii="宋体" w:hAnsi="宋体"/>
          <w:b/>
          <w:color w:val="auto"/>
          <w:sz w:val="24"/>
          <w:szCs w:val="24"/>
          <w:highlight w:val="none"/>
        </w:rPr>
        <w:t>中标单位</w:t>
      </w:r>
    </w:p>
    <w:p w14:paraId="04F79F5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27.1中标候选人的选取原则和数量见招标文件第五章规定。 </w:t>
      </w:r>
    </w:p>
    <w:p w14:paraId="7DA6D0EF">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27.2 采购人应根据评委会推荐的中标候选人确定中标人。</w:t>
      </w:r>
    </w:p>
    <w:p w14:paraId="7CE0CC1B">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27.3 采购代理机构将在中国政府采购网”、“江苏政府采购网”、“盐城市政府采购网”、“阜宁县公共资源电子化服务平台“发布中标公告，公告期限为1个工作日。</w:t>
      </w:r>
    </w:p>
    <w:p w14:paraId="678F4F0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  若有充分证据证明，中标人出现下列情况之一的，一经查实，将被取消中标资格：</w:t>
      </w:r>
    </w:p>
    <w:p w14:paraId="2A10036F">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27.4.1提供虚假材料谋取中标的。</w:t>
      </w:r>
    </w:p>
    <w:p w14:paraId="1D06041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27.4.2向采购人、采购中心行贿或者提供其他不正当利益的。</w:t>
      </w:r>
    </w:p>
    <w:p w14:paraId="79839EF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27.4.3属于本文件规定的无效条件，但在评标过程中又未被评委会发现的。</w:t>
      </w:r>
    </w:p>
    <w:p w14:paraId="51D060A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27.4.4与采购人或者其他</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恶意串通的。</w:t>
      </w:r>
    </w:p>
    <w:p w14:paraId="3C55307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27.4.5采取不正当手段诋毁、排挤其他</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的。</w:t>
      </w:r>
    </w:p>
    <w:p w14:paraId="50E5234C">
      <w:pPr>
        <w:spacing w:line="460" w:lineRule="exact"/>
        <w:ind w:firstLine="480"/>
        <w:rPr>
          <w:rFonts w:hint="eastAsia" w:ascii="宋体" w:hAnsi="宋体"/>
          <w:color w:val="auto"/>
          <w:sz w:val="24"/>
          <w:szCs w:val="24"/>
          <w:highlight w:val="none"/>
        </w:rPr>
      </w:pPr>
      <w:bookmarkStart w:id="161" w:name="_Toc200451960"/>
      <w:r>
        <w:rPr>
          <w:rFonts w:hint="eastAsia" w:ascii="宋体" w:hAnsi="宋体"/>
          <w:color w:val="auto"/>
          <w:sz w:val="24"/>
          <w:szCs w:val="24"/>
          <w:highlight w:val="none"/>
        </w:rPr>
        <w:t xml:space="preserve">27.5. </w:t>
      </w:r>
      <w:r>
        <w:rPr>
          <w:rFonts w:ascii="宋体" w:hAnsi="宋体"/>
          <w:color w:val="auto"/>
          <w:sz w:val="24"/>
          <w:szCs w:val="24"/>
          <w:highlight w:val="none"/>
        </w:rPr>
        <w:t>有下列情形之一的，</w:t>
      </w:r>
      <w:r>
        <w:rPr>
          <w:rFonts w:hint="eastAsia" w:ascii="宋体" w:hAnsi="宋体"/>
          <w:color w:val="auto"/>
          <w:sz w:val="24"/>
          <w:szCs w:val="24"/>
          <w:highlight w:val="none"/>
        </w:rPr>
        <w:t>视为投标人</w:t>
      </w:r>
      <w:r>
        <w:rPr>
          <w:rFonts w:ascii="宋体" w:hAnsi="宋体"/>
          <w:color w:val="auto"/>
          <w:sz w:val="24"/>
          <w:szCs w:val="24"/>
          <w:highlight w:val="none"/>
        </w:rPr>
        <w:t>串通</w:t>
      </w:r>
      <w:r>
        <w:rPr>
          <w:rFonts w:hint="eastAsia" w:ascii="宋体" w:hAnsi="宋体"/>
          <w:color w:val="auto"/>
          <w:sz w:val="24"/>
          <w:szCs w:val="24"/>
          <w:highlight w:val="none"/>
        </w:rPr>
        <w:t>投标，投标无效：</w:t>
      </w:r>
    </w:p>
    <w:p w14:paraId="4D586C53">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11725B6F">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4EEA7F6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14:paraId="663A80EF">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14:paraId="490F0B3E">
      <w:pPr>
        <w:spacing w:line="460" w:lineRule="exact"/>
        <w:ind w:firstLine="480"/>
        <w:rPr>
          <w:rFonts w:hint="eastAsia" w:ascii="宋体" w:hAnsi="宋体"/>
          <w:b/>
          <w:color w:val="auto"/>
          <w:sz w:val="24"/>
          <w:szCs w:val="24"/>
          <w:highlight w:val="none"/>
        </w:rPr>
      </w:pPr>
      <w:r>
        <w:rPr>
          <w:rFonts w:ascii="宋体" w:hAnsi="宋体"/>
          <w:b/>
          <w:color w:val="auto"/>
          <w:sz w:val="24"/>
          <w:szCs w:val="24"/>
          <w:highlight w:val="none"/>
        </w:rPr>
        <w:t>2</w:t>
      </w:r>
      <w:r>
        <w:rPr>
          <w:rFonts w:hint="eastAsia" w:ascii="宋体" w:hAnsi="宋体"/>
          <w:b/>
          <w:color w:val="auto"/>
          <w:sz w:val="24"/>
          <w:szCs w:val="24"/>
          <w:highlight w:val="none"/>
        </w:rPr>
        <w:t>8、质疑处理</w:t>
      </w:r>
      <w:bookmarkEnd w:id="161"/>
    </w:p>
    <w:p w14:paraId="515D8CA3">
      <w:pPr>
        <w:spacing w:line="460" w:lineRule="exact"/>
        <w:ind w:firstLine="480"/>
        <w:rPr>
          <w:rFonts w:hint="eastAsia"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8.1 提出质疑的</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应当是参与所质疑项目采购活动的</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。潜在</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依法获取其可质疑的采购文件的，可以对采购文件提出质疑。</w:t>
      </w:r>
    </w:p>
    <w:p w14:paraId="6DCC8CF9">
      <w:pPr>
        <w:spacing w:line="460" w:lineRule="exact"/>
        <w:ind w:firstLine="480"/>
        <w:rPr>
          <w:rFonts w:hint="eastAsia" w:ascii="宋体" w:hAnsi="宋体"/>
          <w:color w:val="auto"/>
          <w:sz w:val="24"/>
          <w:szCs w:val="24"/>
          <w:highlight w:val="none"/>
          <w:lang w:eastAsia="zh-CN"/>
        </w:rPr>
      </w:pPr>
      <w:r>
        <w:rPr>
          <w:rFonts w:ascii="宋体" w:hAnsi="宋体"/>
          <w:color w:val="auto"/>
          <w:sz w:val="24"/>
          <w:szCs w:val="24"/>
          <w:highlight w:val="none"/>
        </w:rPr>
        <w:t>2</w:t>
      </w:r>
      <w:r>
        <w:rPr>
          <w:rFonts w:hint="eastAsia" w:ascii="宋体" w:hAnsi="宋体"/>
          <w:color w:val="auto"/>
          <w:sz w:val="24"/>
          <w:szCs w:val="24"/>
          <w:highlight w:val="none"/>
        </w:rPr>
        <w:t>8.2参加投标</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认为采购文件、采购过程和中标结果使自己的权益受到损害的，可以在知道或应知其权益受到损害之日起七个工作日</w:t>
      </w:r>
      <w:r>
        <w:rPr>
          <w:rFonts w:hint="eastAsia" w:ascii="宋体" w:hAnsi="宋体"/>
          <w:color w:val="auto"/>
          <w:sz w:val="24"/>
          <w:szCs w:val="24"/>
          <w:highlight w:val="none"/>
          <w:lang w:eastAsia="zh-CN"/>
        </w:rPr>
        <w:t>内，以书面形式根据下述29.4条款的规定向采购代理机构或采购人提出质疑。上述应知其权益受到损害之日，是指：</w:t>
      </w:r>
    </w:p>
    <w:p w14:paraId="066AA6A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w:t>
      </w:r>
      <w:r>
        <w:rPr>
          <w:rFonts w:hint="eastAsia" w:ascii="宋体" w:hAnsi="宋体"/>
          <w:color w:val="auto"/>
          <w:sz w:val="24"/>
          <w:szCs w:val="24"/>
          <w:highlight w:val="none"/>
        </w:rPr>
        <w:t>招标</w:t>
      </w:r>
      <w:r>
        <w:rPr>
          <w:rFonts w:ascii="宋体" w:hAnsi="宋体"/>
          <w:color w:val="auto"/>
          <w:sz w:val="24"/>
          <w:szCs w:val="24"/>
          <w:highlight w:val="none"/>
        </w:rPr>
        <w:t>文件提出质疑的，为收到</w:t>
      </w:r>
      <w:r>
        <w:rPr>
          <w:rFonts w:hint="eastAsia" w:ascii="宋体" w:hAnsi="宋体"/>
          <w:color w:val="auto"/>
          <w:sz w:val="24"/>
          <w:szCs w:val="24"/>
          <w:highlight w:val="none"/>
        </w:rPr>
        <w:t>招标</w:t>
      </w:r>
      <w:r>
        <w:rPr>
          <w:rFonts w:ascii="宋体" w:hAnsi="宋体"/>
          <w:color w:val="auto"/>
          <w:sz w:val="24"/>
          <w:szCs w:val="24"/>
          <w:highlight w:val="none"/>
        </w:rPr>
        <w:t>文件之日或者</w:t>
      </w:r>
      <w:r>
        <w:rPr>
          <w:rFonts w:hint="eastAsia" w:ascii="宋体" w:hAnsi="宋体"/>
          <w:color w:val="auto"/>
          <w:sz w:val="24"/>
          <w:szCs w:val="24"/>
          <w:highlight w:val="none"/>
        </w:rPr>
        <w:t>招标</w:t>
      </w:r>
      <w:r>
        <w:rPr>
          <w:rFonts w:ascii="宋体" w:hAnsi="宋体"/>
          <w:color w:val="auto"/>
          <w:sz w:val="24"/>
          <w:szCs w:val="24"/>
          <w:highlight w:val="none"/>
        </w:rPr>
        <w:t>文件公告期限届满之日；</w:t>
      </w:r>
    </w:p>
    <w:p w14:paraId="4832E07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对采购过程提出质疑的，为各采购程序环节结束之日；</w:t>
      </w:r>
    </w:p>
    <w:p w14:paraId="3C489F9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对中标结果提出质疑的，为中标结果公告期限届满之日。</w:t>
      </w:r>
    </w:p>
    <w:p w14:paraId="30B3B2D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应当在法定质疑期内一次性提出针对同一采购程序环节的质疑。</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如在法定期限内对同一采购程序环节提出多次质疑的，采购代理机构、采购人将只对</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第一次质疑作出答复。</w:t>
      </w:r>
    </w:p>
    <w:p w14:paraId="4ADF86C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28.3质疑函必须按照本招标文件中《质疑函范本》要求的格式和内容进行填写。</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如组成联合体参加投标，则《质疑函范本》中要求签字、盖章、加盖公章之处，联合体各方均须按要求签字、盖章、加盖公章。</w:t>
      </w:r>
    </w:p>
    <w:p w14:paraId="0BA54FF6">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28.4</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（含潜在</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）对采购方式、招标文件中采购需求、</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资格条件、评标方法和评标标准、合同文本及资格审查结果的询问、质疑请向采购人提出，由采购人负责答复。</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对其他事项的询问、质疑请向采购代理机构提出，由采购代理机构负责答复。</w:t>
      </w:r>
    </w:p>
    <w:p w14:paraId="1C579C49">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采购人及采购代理机构只接收以纸质原件形式送达的质疑,采购人和采购代理机构不接受未填写快递运单的快件。</w:t>
      </w:r>
    </w:p>
    <w:p w14:paraId="739F97C9">
      <w:pPr>
        <w:spacing w:line="4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28.5 以下情形的质疑不予受理</w:t>
      </w:r>
    </w:p>
    <w:p w14:paraId="189B2F3D">
      <w:pPr>
        <w:spacing w:line="4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28.5.1 内容不符合《政府采购质疑和投诉办法》第十二条规定的质疑。</w:t>
      </w:r>
    </w:p>
    <w:p w14:paraId="283CE550">
      <w:pPr>
        <w:spacing w:line="4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28.5.2 超出政府采购法定期限的质疑。</w:t>
      </w:r>
    </w:p>
    <w:p w14:paraId="60585051">
      <w:pPr>
        <w:spacing w:line="4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28.5.3 以传真、电子邮件等方式递交的非原件形式的质疑。</w:t>
      </w:r>
    </w:p>
    <w:p w14:paraId="3AC5A0E9">
      <w:pPr>
        <w:spacing w:line="4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28.5.4 未参加投标活动的</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或在投标活动中自身权益未受到损害的</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所提出的质疑。</w:t>
      </w:r>
    </w:p>
    <w:p w14:paraId="6680EA4E">
      <w:pPr>
        <w:spacing w:line="4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28.5.5</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组成联合体参加投标，联合体中任何一方或多方未按要求签字、盖章、加盖公章的质疑。</w:t>
      </w:r>
    </w:p>
    <w:p w14:paraId="1D3BB7AA">
      <w:pPr>
        <w:spacing w:line="4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28.6</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提出书面质疑必须有理、有据，不得捏造事实、提供虚假材料进行恶意质疑。否则，一经查实，采购代理机构有权依据政府采购的有关规定，报请政府采购监管部门对该</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进行相应的行政处罚和记录该</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的失信信息。</w:t>
      </w:r>
    </w:p>
    <w:p w14:paraId="7AB9ECA4">
      <w:pPr>
        <w:spacing w:line="46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29、中标通知书</w:t>
      </w:r>
    </w:p>
    <w:p w14:paraId="4642CBD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41EEF1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29.2中标通知书将是合同的一个组成部分。对采购人和中标</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均具有法律效力。中标通知书发出后，采购人改变中标结果的，或者中标</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放弃中标项目的，应当依法承担法律责任。</w:t>
      </w:r>
    </w:p>
    <w:p w14:paraId="7A1DD511">
      <w:pPr>
        <w:spacing w:line="460" w:lineRule="exact"/>
        <w:ind w:firstLine="480"/>
        <w:rPr>
          <w:rFonts w:hint="eastAsia" w:ascii="宋体" w:hAnsi="宋体"/>
          <w:b/>
          <w:color w:val="auto"/>
          <w:sz w:val="24"/>
          <w:szCs w:val="24"/>
          <w:highlight w:val="none"/>
        </w:rPr>
      </w:pPr>
      <w:bookmarkStart w:id="162" w:name="_Toc120614220"/>
      <w:bookmarkStart w:id="163" w:name="_Toc20823308"/>
      <w:bookmarkStart w:id="164" w:name="_Toc16938552"/>
      <w:bookmarkStart w:id="165" w:name="_Toc513029236"/>
      <w:r>
        <w:rPr>
          <w:rFonts w:hint="eastAsia" w:ascii="宋体" w:hAnsi="宋体"/>
          <w:b/>
          <w:color w:val="auto"/>
          <w:sz w:val="24"/>
          <w:szCs w:val="24"/>
          <w:highlight w:val="none"/>
        </w:rPr>
        <w:t>七、授予合同</w:t>
      </w:r>
      <w:bookmarkEnd w:id="162"/>
      <w:bookmarkEnd w:id="163"/>
      <w:bookmarkEnd w:id="164"/>
      <w:bookmarkEnd w:id="165"/>
    </w:p>
    <w:p w14:paraId="522B5D61">
      <w:pPr>
        <w:spacing w:line="460" w:lineRule="exact"/>
        <w:ind w:firstLine="480"/>
        <w:rPr>
          <w:rFonts w:hint="eastAsia" w:ascii="宋体" w:hAnsi="宋体"/>
          <w:b/>
          <w:color w:val="auto"/>
          <w:sz w:val="24"/>
          <w:szCs w:val="24"/>
          <w:highlight w:val="none"/>
        </w:rPr>
      </w:pPr>
      <w:bookmarkStart w:id="166" w:name="_Toc513029237"/>
      <w:bookmarkStart w:id="167" w:name="_Toc20823309"/>
      <w:bookmarkStart w:id="168" w:name="_Toc16938553"/>
      <w:r>
        <w:rPr>
          <w:rFonts w:hint="eastAsia" w:ascii="宋体" w:hAnsi="宋体"/>
          <w:b/>
          <w:color w:val="auto"/>
          <w:sz w:val="24"/>
          <w:szCs w:val="24"/>
          <w:highlight w:val="none"/>
        </w:rPr>
        <w:t>30、签订合同</w:t>
      </w:r>
    </w:p>
    <w:p w14:paraId="44ABA28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30.l中标人应当在中标通知书发出之日起30日内，按照招标文件确定的事项与采购人签订政府采购合同。</w:t>
      </w:r>
    </w:p>
    <w:p w14:paraId="00D6C18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30.2 招标文件、中标人的投标文件及招标过程中有关澄清、承诺文件均应作为合同附件。</w:t>
      </w:r>
    </w:p>
    <w:p w14:paraId="6E84517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30.3 签订合同后，</w:t>
      </w:r>
      <w:r>
        <w:rPr>
          <w:rFonts w:hint="eastAsia" w:ascii="宋体" w:hAnsi="宋体"/>
          <w:i/>
          <w:iCs/>
          <w:color w:val="auto"/>
          <w:sz w:val="24"/>
          <w:szCs w:val="24"/>
          <w:highlight w:val="none"/>
          <w:u w:val="single"/>
        </w:rPr>
        <w:t>中标人不得将合同标的进行转包。</w:t>
      </w:r>
      <w:r>
        <w:rPr>
          <w:rFonts w:hint="eastAsia" w:ascii="宋体" w:hAnsi="宋体"/>
          <w:color w:val="auto"/>
          <w:sz w:val="24"/>
          <w:szCs w:val="24"/>
          <w:highlight w:val="none"/>
        </w:rPr>
        <w:t>未经采购人同意，中标人也不得采用分包的形式履行合同，否则采购人有权终止合同。转包或分包造成采购人损失的，中标人应承担相应赔偿责任。</w:t>
      </w:r>
    </w:p>
    <w:p w14:paraId="0536B895">
      <w:pPr>
        <w:spacing w:line="46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31、服务（包含与服务相关的货物）的追加</w:t>
      </w:r>
    </w:p>
    <w:p w14:paraId="49ABFF1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31.1</w:t>
      </w:r>
      <w:bookmarkEnd w:id="166"/>
      <w:bookmarkEnd w:id="167"/>
      <w:bookmarkEnd w:id="168"/>
      <w:r>
        <w:rPr>
          <w:rFonts w:hint="eastAsia" w:ascii="宋体" w:hAnsi="宋体"/>
          <w:color w:val="auto"/>
          <w:sz w:val="24"/>
          <w:szCs w:val="24"/>
          <w:highlight w:val="none"/>
        </w:rPr>
        <w:t>政府采购合同履行中，采购人需追加与合同标的相同的服务（包含与服务相关的货物），在不改变合同其他条款的前提下，可以与中标人协商签订补充合同，但所有补充合同的采购金额不超过原合同金额10%。</w:t>
      </w:r>
    </w:p>
    <w:p w14:paraId="3D149B03">
      <w:p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32、政府采购履约资金扶持政策</w:t>
      </w:r>
    </w:p>
    <w:p w14:paraId="0886D84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根据《转发江苏省财政厅 中国人民银行南京分行&lt;关于深入推进政府采购线上合同信用融资工作的通知&gt;的通知》（盐财购〔2021〕20号）规定，中标</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如有融资需求，可持政府采购合同在线向相关金融机构（具体信息详见盐城市政府采购网“政采贷”栏目）申请贷款，相关金融机构按照双方自愿的原则提供便捷、优惠的贷款服务；具体操作流程请参考苏采云系统中</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操作手册。</w:t>
      </w:r>
    </w:p>
    <w:p w14:paraId="10D17B6A">
      <w:p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33、履约保证金政策</w:t>
      </w:r>
    </w:p>
    <w:p w14:paraId="4D671DE8">
      <w:pPr>
        <w:pStyle w:val="327"/>
        <w:spacing w:after="0" w:line="360" w:lineRule="auto"/>
        <w:ind w:left="0" w:firstLine="560"/>
        <w:rPr>
          <w:rFonts w:ascii="宋体" w:hAnsi="宋体" w:eastAsia="宋体" w:cs="宋体"/>
          <w:kern w:val="0"/>
          <w:sz w:val="24"/>
        </w:rPr>
      </w:pPr>
      <w:r>
        <w:rPr>
          <w:rFonts w:hint="eastAsia" w:ascii="宋体" w:hAnsi="宋体" w:eastAsia="宋体" w:cs="宋体"/>
          <w:kern w:val="0"/>
          <w:sz w:val="24"/>
        </w:rPr>
        <w:t>履约保证金的缴纳形式：</w:t>
      </w:r>
    </w:p>
    <w:p w14:paraId="07F32267">
      <w:pPr>
        <w:pStyle w:val="327"/>
        <w:spacing w:after="0" w:line="360" w:lineRule="auto"/>
        <w:ind w:left="0" w:firstLine="560"/>
        <w:rPr>
          <w:rFonts w:ascii="宋体" w:hAnsi="宋体" w:eastAsia="宋体" w:cs="宋体"/>
          <w:kern w:val="0"/>
          <w:sz w:val="24"/>
          <w:highlight w:val="none"/>
        </w:rPr>
      </w:pPr>
      <w:r>
        <w:rPr>
          <w:rFonts w:hint="eastAsia" w:ascii="宋体" w:hAnsi="宋体" w:eastAsia="宋体" w:cs="宋体"/>
          <w:kern w:val="0"/>
          <w:sz w:val="24"/>
        </w:rPr>
        <w:t>本项目履约保证金按中标（合同）价的5%执行，中标人应在签订合同前将履约保证金应当以支票、汇票、本票或者金融机构、担保机构出具的保函等非现金形式提交履约保证金。以转帐、电汇或银行汇票等形式从乙方的帐户转至下列账户，</w:t>
      </w:r>
      <w:r>
        <w:rPr>
          <w:rFonts w:hint="eastAsia" w:ascii="宋体" w:hAnsi="宋体" w:eastAsia="宋体" w:cs="宋体"/>
          <w:kern w:val="0"/>
          <w:sz w:val="24"/>
          <w:highlight w:val="none"/>
        </w:rPr>
        <w:t>收款单位名称：</w:t>
      </w:r>
      <w:r>
        <w:rPr>
          <w:rFonts w:hint="eastAsia" w:ascii="宋体" w:hAnsi="宋体" w:cs="宋体"/>
          <w:kern w:val="0"/>
          <w:sz w:val="24"/>
          <w:highlight w:val="none"/>
          <w:lang w:val="en-US" w:eastAsia="zh-CN"/>
        </w:rPr>
        <w:t>阜宁县卫生健康委员会财务核算中心一沟墩卫生院</w:t>
      </w:r>
      <w:r>
        <w:rPr>
          <w:rFonts w:hint="eastAsia" w:ascii="宋体" w:hAnsi="宋体" w:eastAsia="宋体" w:cs="宋体"/>
          <w:kern w:val="0"/>
          <w:sz w:val="24"/>
          <w:highlight w:val="none"/>
          <w:lang w:val="en-US" w:eastAsia="zh-CN"/>
        </w:rPr>
        <w:t>，</w:t>
      </w:r>
      <w:r>
        <w:rPr>
          <w:rFonts w:hint="eastAsia" w:ascii="宋体" w:hAnsi="宋体" w:eastAsia="宋体" w:cs="宋体"/>
          <w:color w:val="auto"/>
          <w:kern w:val="0"/>
          <w:sz w:val="24"/>
          <w:szCs w:val="24"/>
          <w:highlight w:val="none"/>
        </w:rPr>
        <w:t>开户银行：</w:t>
      </w:r>
      <w:r>
        <w:rPr>
          <w:rFonts w:hint="eastAsia" w:ascii="宋体" w:hAnsi="宋体" w:eastAsia="宋体" w:cs="宋体"/>
          <w:color w:val="auto"/>
          <w:kern w:val="0"/>
          <w:sz w:val="24"/>
          <w:szCs w:val="24"/>
          <w:highlight w:val="none"/>
          <w:lang w:val="en-US" w:eastAsia="zh-CN"/>
        </w:rPr>
        <w:t>中国农业银行股份有限公司阜宁丽都支行</w:t>
      </w:r>
      <w:r>
        <w:rPr>
          <w:rFonts w:hint="eastAsia" w:ascii="宋体" w:hAnsi="宋体" w:eastAsia="宋体" w:cs="宋体"/>
          <w:color w:val="auto"/>
          <w:kern w:val="0"/>
          <w:sz w:val="24"/>
          <w:szCs w:val="24"/>
          <w:highlight w:val="none"/>
        </w:rPr>
        <w:t>；帐号：</w:t>
      </w:r>
      <w:r>
        <w:rPr>
          <w:rFonts w:hint="eastAsia" w:ascii="宋体" w:hAnsi="宋体" w:cs="宋体"/>
          <w:color w:val="auto"/>
          <w:kern w:val="0"/>
          <w:sz w:val="24"/>
          <w:szCs w:val="24"/>
          <w:highlight w:val="none"/>
          <w:lang w:val="en-US" w:eastAsia="zh-CN"/>
        </w:rPr>
        <w:t>10408401040004549</w:t>
      </w:r>
      <w:r>
        <w:rPr>
          <w:rFonts w:hint="eastAsia" w:ascii="宋体" w:hAnsi="宋体" w:eastAsia="宋体" w:cs="宋体"/>
          <w:highlight w:val="none"/>
        </w:rPr>
        <w:t>。</w:t>
      </w:r>
    </w:p>
    <w:p w14:paraId="3F6D181A">
      <w:pPr>
        <w:pStyle w:val="327"/>
        <w:spacing w:after="0" w:line="360" w:lineRule="auto"/>
        <w:ind w:left="0" w:firstLine="560"/>
        <w:rPr>
          <w:rFonts w:ascii="宋体" w:hAnsi="宋体" w:eastAsia="宋体" w:cs="宋体"/>
          <w:kern w:val="0"/>
          <w:sz w:val="24"/>
        </w:rPr>
      </w:pPr>
      <w:r>
        <w:rPr>
          <w:rFonts w:hint="eastAsia" w:ascii="宋体" w:hAnsi="宋体" w:eastAsia="宋体" w:cs="宋体"/>
          <w:kern w:val="0"/>
          <w:sz w:val="24"/>
        </w:rPr>
        <w:t xml:space="preserve"> 鼓励供应商以履约保函（保险）形式缴纳履约保证金。供应商可通过政府采购电子履约保函（保险）平台（www.jsdzbh.com）在线申请履约保函（保险）。采用保函形式提交的，其受益人为甲方，保函的有效期不得低于合同的履行期限。</w:t>
      </w:r>
    </w:p>
    <w:p w14:paraId="6F197998">
      <w:pPr>
        <w:spacing w:line="360" w:lineRule="auto"/>
        <w:ind w:firstLine="480" w:firstLineChars="200"/>
        <w:rPr>
          <w:rFonts w:ascii="宋体" w:hAnsi="宋体" w:eastAsia="宋体" w:cs="宋体"/>
          <w:kern w:val="0"/>
          <w:sz w:val="24"/>
        </w:rPr>
      </w:pPr>
      <w:r>
        <w:rPr>
          <w:rFonts w:hint="eastAsia" w:ascii="宋体" w:hAnsi="宋体" w:eastAsia="宋体" w:cs="宋体"/>
          <w:kern w:val="0"/>
          <w:sz w:val="24"/>
        </w:rPr>
        <w:t>采购人对第三方信用服务机构依据标准规范评定为 AA 级及以上的政府采购供应商（需在签订采购合同前提供信用管理 部门备案的第三方信用报告，且信用报告通过“信用盐城网”可查实），免收履约保证金。</w:t>
      </w:r>
    </w:p>
    <w:p w14:paraId="59D8F0A8">
      <w:p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34、 预付款制度</w:t>
      </w:r>
    </w:p>
    <w:p w14:paraId="014EF84B">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本项目落实预付款制度，预付款比例为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30</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%。在签订合同时，中标、成交</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明确书面表示无需预付款或者主动要求降低预付款比例的，采购人可就预付款比例作相应调整。</w:t>
      </w:r>
    </w:p>
    <w:p w14:paraId="03C14674">
      <w:pPr>
        <w:spacing w:line="460" w:lineRule="exact"/>
        <w:ind w:firstLine="482"/>
        <w:rPr>
          <w:rFonts w:hint="eastAsia" w:ascii="宋体" w:hAnsi="宋体" w:eastAsia="黑体" w:cs="宋体"/>
          <w:color w:val="auto"/>
          <w:sz w:val="24"/>
          <w:highlight w:val="none"/>
        </w:rPr>
      </w:pPr>
      <w:r>
        <w:rPr>
          <w:rFonts w:hint="eastAsia" w:ascii="宋体" w:hAnsi="宋体"/>
          <w:b/>
          <w:color w:val="auto"/>
          <w:sz w:val="24"/>
          <w:szCs w:val="24"/>
          <w:highlight w:val="none"/>
        </w:rPr>
        <w:t>八、其他</w:t>
      </w:r>
    </w:p>
    <w:p w14:paraId="4462DE9C">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35.1</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对于投标产品的商品包装、快递包装应按照《关于印发《商品包装政府采购需求标准（试行）》、《快递包装政府采购需求标准（试行）》的通知》（财办库〔2020〕123号）执行。</w:t>
      </w:r>
    </w:p>
    <w:p w14:paraId="069F9B3E">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35.2本文件中若涉及到数据中心采购，应按照《&lt;绿色数据中心政府采购需求标准（试行）&gt;的通知》（财库〔2023〕7号）执行。</w:t>
      </w:r>
    </w:p>
    <w:p w14:paraId="5A4D7FF8">
      <w:pPr>
        <w:keepNext/>
        <w:spacing w:after="156"/>
        <w:jc w:val="center"/>
        <w:outlineLvl w:val="0"/>
        <w:rPr>
          <w:rFonts w:ascii="黑体" w:eastAsia="黑体"/>
          <w:bCs/>
          <w:color w:val="auto"/>
          <w:sz w:val="44"/>
          <w:szCs w:val="28"/>
          <w:highlight w:val="none"/>
        </w:rPr>
      </w:pPr>
      <w:bookmarkStart w:id="169" w:name="_Hlt16619350"/>
      <w:bookmarkStart w:id="170" w:name="_Toc20823346"/>
      <w:bookmarkStart w:id="171" w:name="_Toc16938590"/>
      <w:bookmarkStart w:id="172" w:name="_Toc120614244"/>
      <w:r>
        <w:rPr>
          <w:rFonts w:hint="eastAsia" w:ascii="黑体" w:eastAsia="黑体"/>
          <w:bCs/>
          <w:color w:val="auto"/>
          <w:sz w:val="44"/>
          <w:szCs w:val="28"/>
          <w:highlight w:val="none"/>
        </w:rPr>
        <w:t>第三章 合同文本</w:t>
      </w:r>
    </w:p>
    <w:p w14:paraId="113B7340">
      <w:pPr>
        <w:pStyle w:val="333"/>
        <w:spacing w:beforeAutospacing="0" w:afterAutospacing="0" w:line="0" w:lineRule="atLeast"/>
        <w:ind w:firstLine="480"/>
        <w:jc w:val="both"/>
        <w:rPr>
          <w:color w:val="auto"/>
          <w:highlight w:val="none"/>
        </w:rPr>
      </w:pPr>
      <w:bookmarkStart w:id="173" w:name="_Toc20823315"/>
      <w:bookmarkStart w:id="174" w:name="_Toc16938559"/>
      <w:bookmarkStart w:id="175" w:name="_Toc513029243"/>
      <w:r>
        <w:rPr>
          <w:rFonts w:hint="eastAsia" w:ascii="宋体" w:hAnsi="宋体" w:eastAsia="宋体" w:cs="宋体"/>
          <w:color w:val="auto"/>
          <w:highlight w:val="none"/>
        </w:rPr>
        <w:t>以下为中标后签定本项目合同的通用条款，中标人不得提出实质性的修改。</w:t>
      </w:r>
      <w:bookmarkEnd w:id="173"/>
      <w:bookmarkEnd w:id="174"/>
      <w:bookmarkEnd w:id="175"/>
    </w:p>
    <w:p w14:paraId="7DA59CEE">
      <w:pPr>
        <w:keepNext/>
        <w:spacing w:after="156"/>
        <w:jc w:val="center"/>
        <w:outlineLvl w:val="0"/>
        <w:rPr>
          <w:rFonts w:hint="eastAsia" w:ascii="宋体" w:hAnsi="宋体" w:cs="宋体"/>
          <w:b/>
          <w:color w:val="auto"/>
          <w:sz w:val="30"/>
          <w:szCs w:val="30"/>
          <w:highlight w:val="none"/>
        </w:rPr>
      </w:pPr>
    </w:p>
    <w:p w14:paraId="525FBDB5">
      <w:pPr>
        <w:keepNext/>
        <w:spacing w:after="156"/>
        <w:jc w:val="center"/>
        <w:outlineLvl w:val="0"/>
        <w:rPr>
          <w:rFonts w:ascii="黑体" w:eastAsia="黑体"/>
          <w:bCs/>
          <w:color w:val="auto"/>
          <w:sz w:val="44"/>
          <w:szCs w:val="28"/>
          <w:highlight w:val="none"/>
        </w:rPr>
      </w:pPr>
      <w:r>
        <w:rPr>
          <w:rFonts w:hint="eastAsia" w:ascii="宋体" w:hAnsi="宋体" w:cs="宋体"/>
          <w:b/>
          <w:color w:val="auto"/>
          <w:sz w:val="30"/>
          <w:szCs w:val="30"/>
          <w:highlight w:val="none"/>
        </w:rPr>
        <w:t>盐城市政府采购合同（服务）</w:t>
      </w:r>
    </w:p>
    <w:p w14:paraId="200C2D5C">
      <w:pPr>
        <w:pStyle w:val="45"/>
        <w:keepNext w:val="0"/>
        <w:keepLines w:val="0"/>
        <w:pageBreakBefore w:val="0"/>
        <w:spacing w:before="120" w:beforeAutospacing="0" w:after="120" w:afterAutospacing="0" w:line="460" w:lineRule="exact"/>
        <w:jc w:val="both"/>
        <w:rPr>
          <w:rFonts w:hint="eastAsia" w:eastAsia="宋体"/>
          <w:color w:val="auto"/>
          <w:highlight w:val="none"/>
          <w:lang w:eastAsia="zh-CN"/>
        </w:rPr>
      </w:pPr>
      <w:r>
        <w:rPr>
          <w:rFonts w:hint="eastAsia"/>
          <w:color w:val="auto"/>
          <w:highlight w:val="none"/>
        </w:rPr>
        <w:t>项目名称：</w:t>
      </w:r>
      <w:r>
        <w:rPr>
          <w:rFonts w:hint="eastAsia"/>
          <w:color w:val="auto"/>
          <w:sz w:val="24"/>
          <w:highlight w:val="none"/>
          <w:lang w:eastAsia="zh-CN"/>
        </w:rPr>
        <w:t>阜宁县沟墩中心卫生院CT维保项目</w:t>
      </w:r>
    </w:p>
    <w:p w14:paraId="542D6976">
      <w:pPr>
        <w:pStyle w:val="45"/>
        <w:keepNext w:val="0"/>
        <w:keepLines w:val="0"/>
        <w:pageBreakBefore w:val="0"/>
        <w:spacing w:before="120" w:beforeAutospacing="0" w:after="120" w:afterAutospacing="0" w:line="460" w:lineRule="exact"/>
        <w:jc w:val="both"/>
        <w:rPr>
          <w:rFonts w:hint="eastAsia" w:eastAsia="宋体"/>
          <w:color w:val="auto"/>
          <w:highlight w:val="white"/>
        </w:rPr>
      </w:pPr>
      <w:r>
        <w:rPr>
          <w:rFonts w:hint="eastAsia"/>
          <w:color w:val="auto"/>
          <w:highlight w:val="none"/>
        </w:rPr>
        <w:t>项目编号</w:t>
      </w:r>
      <w:r>
        <w:rPr>
          <w:rFonts w:hint="eastAsia"/>
          <w:color w:val="auto"/>
          <w:highlight w:val="white"/>
        </w:rPr>
        <w:t>：</w:t>
      </w:r>
      <w:r>
        <w:rPr>
          <w:rFonts w:hint="eastAsia"/>
          <w:color w:val="auto"/>
          <w:highlight w:val="white"/>
          <w:lang w:eastAsia="zh-CN"/>
        </w:rPr>
        <w:t>JSZC-320923-SNST-G2025-0002</w:t>
      </w:r>
    </w:p>
    <w:p w14:paraId="79FD7368">
      <w:pPr>
        <w:keepNext w:val="0"/>
        <w:keepLines w:val="0"/>
        <w:pageBreakBefore w:val="0"/>
        <w:spacing w:line="460" w:lineRule="exact"/>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甲方（采购人）：</w:t>
      </w:r>
      <w:r>
        <w:rPr>
          <w:rFonts w:hint="eastAsia" w:ascii="宋体" w:hAnsi="宋体" w:cs="宋体"/>
          <w:bCs/>
          <w:color w:val="auto"/>
          <w:sz w:val="24"/>
          <w:szCs w:val="24"/>
          <w:highlight w:val="none"/>
          <w:u w:val="single"/>
          <w:lang w:eastAsia="zh-CN"/>
        </w:rPr>
        <w:t>阜宁县沟墩中心卫生院</w:t>
      </w:r>
      <w:r>
        <w:rPr>
          <w:rFonts w:hint="eastAsia" w:ascii="宋体" w:hAnsi="宋体" w:cs="宋体"/>
          <w:bCs/>
          <w:color w:val="auto"/>
          <w:sz w:val="24"/>
          <w:szCs w:val="24"/>
          <w:highlight w:val="none"/>
          <w:u w:val="single"/>
        </w:rPr>
        <w:t xml:space="preserve"> </w:t>
      </w:r>
    </w:p>
    <w:p w14:paraId="00D94F5B">
      <w:pPr>
        <w:pStyle w:val="45"/>
        <w:keepNext w:val="0"/>
        <w:keepLines w:val="0"/>
        <w:pageBreakBefore w:val="0"/>
        <w:spacing w:before="120" w:beforeAutospacing="0" w:after="120" w:afterAutospacing="0" w:line="460" w:lineRule="exact"/>
        <w:jc w:val="both"/>
        <w:rPr>
          <w:rFonts w:hint="eastAsia"/>
          <w:color w:val="auto"/>
          <w:highlight w:val="none"/>
        </w:rPr>
      </w:pPr>
      <w:r>
        <w:rPr>
          <w:rFonts w:hint="eastAsia"/>
          <w:color w:val="auto"/>
          <w:highlight w:val="none"/>
        </w:rPr>
        <w:t>乙方（</w:t>
      </w:r>
      <w:r>
        <w:rPr>
          <w:rFonts w:hint="eastAsia"/>
          <w:color w:val="auto"/>
          <w:highlight w:val="none"/>
          <w:lang w:eastAsia="zh-CN"/>
        </w:rPr>
        <w:t>投标人</w:t>
      </w:r>
      <w:r>
        <w:rPr>
          <w:rFonts w:hint="eastAsia"/>
          <w:color w:val="auto"/>
          <w:highlight w:val="none"/>
        </w:rPr>
        <w:t>）：</w:t>
      </w:r>
      <w:r>
        <w:rPr>
          <w:rFonts w:hint="eastAsia"/>
          <w:color w:val="auto"/>
          <w:highlight w:val="none"/>
          <w:u w:val="single"/>
        </w:rPr>
        <w:t xml:space="preserve">                       </w:t>
      </w:r>
      <w:r>
        <w:rPr>
          <w:rFonts w:hint="eastAsia"/>
          <w:color w:val="auto"/>
          <w:highlight w:val="none"/>
        </w:rPr>
        <w:t>（本次采购招标活动的成交</w:t>
      </w:r>
      <w:r>
        <w:rPr>
          <w:rFonts w:hint="eastAsia"/>
          <w:color w:val="auto"/>
          <w:highlight w:val="none"/>
          <w:lang w:eastAsia="zh-CN"/>
        </w:rPr>
        <w:t>投标人</w:t>
      </w:r>
      <w:r>
        <w:rPr>
          <w:rFonts w:hint="eastAsia"/>
          <w:color w:val="auto"/>
          <w:highlight w:val="none"/>
        </w:rPr>
        <w:t>）</w:t>
      </w:r>
    </w:p>
    <w:p w14:paraId="47AD355B">
      <w:pPr>
        <w:pStyle w:val="45"/>
        <w:keepNext w:val="0"/>
        <w:keepLines w:val="0"/>
        <w:pageBreakBefore w:val="0"/>
        <w:spacing w:before="120" w:beforeAutospacing="0" w:after="120" w:afterAutospacing="0" w:line="460" w:lineRule="exact"/>
        <w:jc w:val="both"/>
        <w:rPr>
          <w:rFonts w:hint="eastAsia"/>
          <w:color w:val="auto"/>
          <w:highlight w:val="none"/>
        </w:rPr>
      </w:pPr>
      <w:r>
        <w:rPr>
          <w:rFonts w:hint="eastAsia"/>
          <w:b/>
          <w:color w:val="auto"/>
          <w:highlight w:val="none"/>
        </w:rPr>
        <w:t xml:space="preserve">   </w:t>
      </w:r>
      <w:r>
        <w:rPr>
          <w:rFonts w:hint="eastAsia"/>
          <w:bCs/>
          <w:color w:val="auto"/>
          <w:highlight w:val="none"/>
        </w:rPr>
        <w:t>根据《中华人民共和国政府采购法》、《中华人民共和国民法典》等法律法规的规定，甲、乙双方根据</w:t>
      </w:r>
      <w:r>
        <w:rPr>
          <w:rFonts w:hint="eastAsia"/>
          <w:bCs/>
          <w:color w:val="auto"/>
          <w:highlight w:val="none"/>
          <w:u w:val="single"/>
          <w:lang w:eastAsia="zh-CN"/>
        </w:rPr>
        <w:t>阜宁县沟墩中心卫生院CT维保项目</w:t>
      </w:r>
      <w:r>
        <w:rPr>
          <w:rFonts w:hint="eastAsia"/>
          <w:bCs/>
          <w:color w:val="auto"/>
          <w:highlight w:val="none"/>
        </w:rPr>
        <w:t>公开招标的结果，签署本合同。</w:t>
      </w:r>
    </w:p>
    <w:p w14:paraId="10F60803">
      <w:pPr>
        <w:pStyle w:val="26"/>
        <w:keepNext w:val="0"/>
        <w:keepLines w:val="0"/>
        <w:pageBreakBefore w:val="0"/>
        <w:spacing w:line="460" w:lineRule="exact"/>
        <w:ind w:firstLine="482"/>
        <w:jc w:val="both"/>
        <w:rPr>
          <w:rFonts w:hint="eastAsia" w:hAnsi="宋体" w:cs="宋体"/>
          <w:color w:val="auto"/>
          <w:sz w:val="24"/>
          <w:szCs w:val="24"/>
          <w:highlight w:val="none"/>
        </w:rPr>
      </w:pPr>
      <w:r>
        <w:rPr>
          <w:rFonts w:hint="eastAsia" w:hAnsi="宋体" w:cs="宋体"/>
          <w:b/>
          <w:color w:val="auto"/>
          <w:sz w:val="24"/>
          <w:szCs w:val="24"/>
          <w:highlight w:val="none"/>
        </w:rPr>
        <w:t>一、合同内容</w:t>
      </w:r>
    </w:p>
    <w:p w14:paraId="7E24C17C">
      <w:pPr>
        <w:pStyle w:val="26"/>
        <w:keepNext w:val="0"/>
        <w:keepLines w:val="0"/>
        <w:pageBreakBefore w:val="0"/>
        <w:spacing w:line="460" w:lineRule="exact"/>
        <w:ind w:firstLine="480"/>
        <w:jc w:val="both"/>
        <w:rPr>
          <w:rFonts w:hint="eastAsia" w:hAnsi="宋体" w:cs="宋体"/>
          <w:b w:val="0"/>
          <w:bCs w:val="0"/>
          <w:color w:val="auto"/>
          <w:sz w:val="24"/>
          <w:szCs w:val="24"/>
          <w:highlight w:val="none"/>
          <w:lang w:eastAsia="zh-CN"/>
        </w:rPr>
      </w:pPr>
      <w:r>
        <w:rPr>
          <w:rFonts w:hint="eastAsia" w:hAnsi="宋体" w:cs="宋体"/>
          <w:b w:val="0"/>
          <w:bCs w:val="0"/>
          <w:color w:val="auto"/>
          <w:sz w:val="24"/>
          <w:szCs w:val="24"/>
          <w:highlight w:val="none"/>
        </w:rPr>
        <w:t>1.1 标的名称：</w:t>
      </w:r>
      <w:r>
        <w:rPr>
          <w:rFonts w:hint="eastAsia" w:hAnsi="宋体" w:cs="宋体"/>
          <w:b w:val="0"/>
          <w:bCs w:val="0"/>
          <w:color w:val="auto"/>
          <w:sz w:val="24"/>
          <w:szCs w:val="24"/>
          <w:highlight w:val="none"/>
          <w:lang w:eastAsia="zh-CN"/>
        </w:rPr>
        <w:t>阜宁县沟墩中心卫生院CT维保项目</w:t>
      </w:r>
    </w:p>
    <w:p w14:paraId="53A335D2">
      <w:pPr>
        <w:pStyle w:val="26"/>
        <w:keepNext w:val="0"/>
        <w:keepLines w:val="0"/>
        <w:pageBreakBefore w:val="0"/>
        <w:spacing w:line="460" w:lineRule="exact"/>
        <w:ind w:firstLine="480"/>
        <w:jc w:val="both"/>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1.2 质量</w:t>
      </w:r>
      <w:r>
        <w:rPr>
          <w:rFonts w:hint="eastAsia" w:hAnsi="宋体" w:cs="宋体"/>
          <w:b w:val="0"/>
          <w:bCs w:val="0"/>
          <w:color w:val="auto"/>
          <w:sz w:val="24"/>
          <w:szCs w:val="24"/>
          <w:highlight w:val="none"/>
          <w:lang w:val="en-US" w:eastAsia="zh-CN"/>
        </w:rPr>
        <w:t>要求</w:t>
      </w:r>
      <w:r>
        <w:rPr>
          <w:rFonts w:hint="eastAsia" w:hAnsi="宋体" w:cs="宋体"/>
          <w:b w:val="0"/>
          <w:bCs w:val="0"/>
          <w:color w:val="auto"/>
          <w:sz w:val="24"/>
          <w:szCs w:val="24"/>
          <w:highlight w:val="none"/>
        </w:rPr>
        <w:t>：</w:t>
      </w:r>
      <w:r>
        <w:rPr>
          <w:rFonts w:hint="eastAsia" w:hAnsi="宋体" w:cs="宋体"/>
          <w:b w:val="0"/>
          <w:bCs w:val="0"/>
          <w:color w:val="auto"/>
          <w:sz w:val="24"/>
          <w:szCs w:val="24"/>
          <w:highlight w:val="none"/>
          <w:lang w:eastAsia="zh-CN"/>
        </w:rPr>
        <w:t>合格标准，符合相关国家标准及招标文件的要求</w:t>
      </w:r>
      <w:r>
        <w:rPr>
          <w:rFonts w:hint="eastAsia" w:hAnsi="宋体" w:cs="宋体"/>
          <w:b w:val="0"/>
          <w:bCs w:val="0"/>
          <w:color w:val="auto"/>
          <w:sz w:val="24"/>
          <w:szCs w:val="24"/>
          <w:highlight w:val="none"/>
          <w:lang w:val="en-US" w:eastAsia="zh-CN"/>
        </w:rPr>
        <w:t>。</w:t>
      </w:r>
    </w:p>
    <w:p w14:paraId="0CB57533">
      <w:pPr>
        <w:pStyle w:val="26"/>
        <w:keepNext w:val="0"/>
        <w:keepLines w:val="0"/>
        <w:pageBreakBefore w:val="0"/>
        <w:spacing w:line="460" w:lineRule="exact"/>
        <w:ind w:firstLine="480"/>
        <w:jc w:val="both"/>
        <w:rPr>
          <w:rFonts w:hint="eastAsia" w:hAnsi="宋体" w:eastAsia="宋体" w:cs="宋体"/>
          <w:b w:val="0"/>
          <w:bCs w:val="0"/>
          <w:color w:val="auto"/>
          <w:sz w:val="24"/>
          <w:szCs w:val="24"/>
          <w:highlight w:val="none"/>
          <w:lang w:eastAsia="zh-CN"/>
        </w:rPr>
      </w:pPr>
      <w:r>
        <w:rPr>
          <w:rFonts w:hint="eastAsia" w:hAnsi="宋体" w:cs="宋体"/>
          <w:b w:val="0"/>
          <w:bCs w:val="0"/>
          <w:color w:val="auto"/>
          <w:sz w:val="24"/>
          <w:szCs w:val="24"/>
          <w:highlight w:val="none"/>
        </w:rPr>
        <w:t>1.3 标的数量（规模）：</w:t>
      </w:r>
      <w:r>
        <w:rPr>
          <w:rFonts w:hint="eastAsia" w:hAnsi="宋体" w:cs="宋体"/>
          <w:b w:val="0"/>
          <w:bCs w:val="0"/>
          <w:color w:val="auto"/>
          <w:sz w:val="24"/>
          <w:szCs w:val="24"/>
          <w:highlight w:val="none"/>
          <w:lang w:eastAsia="zh-CN"/>
        </w:rPr>
        <w:t>1台CT维保项目</w:t>
      </w:r>
    </w:p>
    <w:p w14:paraId="35D7D880">
      <w:pPr>
        <w:pStyle w:val="26"/>
        <w:keepNext w:val="0"/>
        <w:keepLines w:val="0"/>
        <w:pageBreakBefore w:val="0"/>
        <w:spacing w:line="460" w:lineRule="exact"/>
        <w:ind w:firstLine="480"/>
        <w:jc w:val="both"/>
        <w:rPr>
          <w:rFonts w:hint="eastAsia" w:hAnsi="宋体" w:cs="宋体"/>
          <w:b w:val="0"/>
          <w:bCs w:val="0"/>
          <w:color w:val="auto"/>
          <w:sz w:val="24"/>
          <w:szCs w:val="24"/>
          <w:highlight w:val="none"/>
          <w:lang w:eastAsia="zh-CN"/>
        </w:rPr>
      </w:pPr>
      <w:r>
        <w:rPr>
          <w:rFonts w:hint="eastAsia" w:hAnsi="宋体" w:cs="宋体"/>
          <w:b w:val="0"/>
          <w:bCs w:val="0"/>
          <w:color w:val="auto"/>
          <w:sz w:val="24"/>
          <w:szCs w:val="24"/>
          <w:highlight w:val="none"/>
        </w:rPr>
        <w:t>1.4 履行时间（期限）：</w:t>
      </w:r>
      <w:r>
        <w:rPr>
          <w:rFonts w:hint="eastAsia" w:hAnsi="宋体" w:cs="宋体"/>
          <w:b w:val="0"/>
          <w:bCs w:val="0"/>
          <w:color w:val="auto"/>
          <w:sz w:val="24"/>
          <w:szCs w:val="24"/>
          <w:highlight w:val="none"/>
          <w:lang w:eastAsia="zh-CN"/>
        </w:rPr>
        <w:t>五年（注：合同履行期内如甲方更换新设备，则维保服务自动终止，维保费用按实际服务时间计算）</w:t>
      </w:r>
      <w:r>
        <w:rPr>
          <w:rFonts w:hint="eastAsia" w:hAnsi="宋体" w:cs="宋体"/>
          <w:b w:val="0"/>
          <w:bCs w:val="0"/>
          <w:color w:val="auto"/>
          <w:sz w:val="24"/>
          <w:szCs w:val="24"/>
          <w:highlight w:val="none"/>
        </w:rPr>
        <w:t>。</w:t>
      </w:r>
    </w:p>
    <w:p w14:paraId="288CF76D">
      <w:pPr>
        <w:pStyle w:val="26"/>
        <w:keepNext w:val="0"/>
        <w:keepLines w:val="0"/>
        <w:pageBreakBefore w:val="0"/>
        <w:spacing w:line="460" w:lineRule="exact"/>
        <w:ind w:firstLine="480"/>
        <w:jc w:val="both"/>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1.5 履行地点：</w:t>
      </w:r>
      <w:r>
        <w:rPr>
          <w:rFonts w:hint="eastAsia" w:hAnsi="宋体" w:cs="宋体"/>
          <w:b w:val="0"/>
          <w:bCs w:val="0"/>
          <w:color w:val="auto"/>
          <w:sz w:val="24"/>
          <w:szCs w:val="24"/>
          <w:highlight w:val="none"/>
          <w:lang w:eastAsia="zh-CN"/>
        </w:rPr>
        <w:t>阜宁县沟墩中心卫生院</w:t>
      </w:r>
      <w:r>
        <w:rPr>
          <w:rFonts w:hint="eastAsia" w:hAnsi="宋体" w:cs="宋体"/>
          <w:b w:val="0"/>
          <w:bCs w:val="0"/>
          <w:color w:val="auto"/>
          <w:sz w:val="24"/>
          <w:szCs w:val="24"/>
          <w:highlight w:val="none"/>
        </w:rPr>
        <w:t>。</w:t>
      </w:r>
    </w:p>
    <w:p w14:paraId="58736989">
      <w:pPr>
        <w:pStyle w:val="26"/>
        <w:keepNext w:val="0"/>
        <w:keepLines w:val="0"/>
        <w:pageBreakBefore w:val="0"/>
        <w:spacing w:line="460" w:lineRule="exact"/>
        <w:ind w:firstLine="480"/>
        <w:jc w:val="both"/>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1.6履行方式：符合</w:t>
      </w:r>
      <w:r>
        <w:rPr>
          <w:rFonts w:hint="eastAsia" w:hAnsi="宋体" w:cs="宋体"/>
          <w:b w:val="0"/>
          <w:bCs w:val="0"/>
          <w:color w:val="auto"/>
          <w:sz w:val="24"/>
          <w:szCs w:val="24"/>
          <w:highlight w:val="none"/>
          <w:lang w:eastAsia="zh-CN"/>
        </w:rPr>
        <w:t>招标文件</w:t>
      </w:r>
      <w:r>
        <w:rPr>
          <w:rFonts w:hint="eastAsia" w:hAnsi="宋体" w:cs="宋体"/>
          <w:b w:val="0"/>
          <w:bCs w:val="0"/>
          <w:color w:val="auto"/>
          <w:sz w:val="24"/>
          <w:szCs w:val="24"/>
          <w:highlight w:val="none"/>
        </w:rPr>
        <w:t>文件相关要求。</w:t>
      </w:r>
    </w:p>
    <w:p w14:paraId="0E250869">
      <w:pPr>
        <w:pStyle w:val="26"/>
        <w:keepNext w:val="0"/>
        <w:keepLines w:val="0"/>
        <w:pageBreakBefore w:val="0"/>
        <w:spacing w:line="460" w:lineRule="exact"/>
        <w:ind w:firstLine="482"/>
        <w:jc w:val="both"/>
        <w:rPr>
          <w:rFonts w:hint="eastAsia" w:hAnsi="宋体" w:cs="宋体"/>
          <w:color w:val="auto"/>
          <w:sz w:val="24"/>
          <w:szCs w:val="24"/>
          <w:highlight w:val="none"/>
        </w:rPr>
      </w:pPr>
      <w:r>
        <w:rPr>
          <w:rFonts w:hint="eastAsia" w:hAnsi="宋体" w:cs="宋体"/>
          <w:b/>
          <w:bCs/>
          <w:color w:val="auto"/>
          <w:sz w:val="24"/>
          <w:szCs w:val="24"/>
          <w:highlight w:val="none"/>
        </w:rPr>
        <w:t>二、合同金额</w:t>
      </w:r>
    </w:p>
    <w:p w14:paraId="7BBAA9C0">
      <w:pPr>
        <w:pStyle w:val="26"/>
        <w:keepNext w:val="0"/>
        <w:keepLines w:val="0"/>
        <w:pageBreakBefore w:val="0"/>
        <w:spacing w:line="460" w:lineRule="exact"/>
        <w:ind w:firstLine="480"/>
        <w:jc w:val="both"/>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1、本合同总金额(人民币大写)∶</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rPr>
        <w:t xml:space="preserve">；(人民币小写)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rPr>
        <w:t>。</w:t>
      </w:r>
    </w:p>
    <w:p w14:paraId="077D65C1">
      <w:pPr>
        <w:pStyle w:val="26"/>
        <w:keepNext w:val="0"/>
        <w:keepLines w:val="0"/>
        <w:pageBreakBefore w:val="0"/>
        <w:spacing w:line="460" w:lineRule="exact"/>
        <w:ind w:firstLine="480"/>
        <w:jc w:val="both"/>
        <w:rPr>
          <w:rFonts w:hint="eastAsia" w:ascii="宋体" w:hAnsi="宋体" w:eastAsia="宋体" w:cs="宋体"/>
          <w:color w:val="auto"/>
          <w:sz w:val="24"/>
          <w:szCs w:val="24"/>
          <w:highlight w:val="none"/>
        </w:rPr>
      </w:pPr>
      <w:r>
        <w:rPr>
          <w:rFonts w:hint="eastAsia" w:hAnsi="宋体" w:cs="宋体"/>
          <w:b w:val="0"/>
          <w:bCs w:val="0"/>
          <w:color w:val="auto"/>
          <w:sz w:val="24"/>
          <w:szCs w:val="24"/>
          <w:highlight w:val="none"/>
        </w:rPr>
        <w:t>2、上述金额是乙方对本次采</w:t>
      </w:r>
      <w:r>
        <w:rPr>
          <w:rFonts w:hint="eastAsia" w:ascii="宋体" w:hAnsi="宋体" w:eastAsia="宋体" w:cs="宋体"/>
          <w:color w:val="auto"/>
          <w:sz w:val="24"/>
          <w:szCs w:val="24"/>
          <w:highlight w:val="none"/>
        </w:rPr>
        <w:t>购及其伴随服务各项支付金额的总和。合同总金额</w:t>
      </w:r>
      <w:r>
        <w:rPr>
          <w:rFonts w:hint="eastAsia" w:hAnsi="宋体" w:cs="宋体"/>
          <w:color w:val="auto"/>
          <w:sz w:val="24"/>
          <w:szCs w:val="24"/>
          <w:highlight w:val="none"/>
          <w:lang w:eastAsia="zh-CN"/>
        </w:rPr>
        <w:t>包括采购人需求的服务（包含与服务相关的货物）价格、质量保证费用、</w:t>
      </w:r>
      <w:r>
        <w:rPr>
          <w:rFonts w:hint="eastAsia" w:hAnsi="宋体" w:cs="宋体"/>
          <w:color w:val="auto"/>
          <w:sz w:val="24"/>
          <w:szCs w:val="24"/>
          <w:highlight w:val="none"/>
          <w:lang w:val="en-US" w:eastAsia="zh-CN"/>
        </w:rPr>
        <w:t>招标代理费、</w:t>
      </w:r>
      <w:r>
        <w:rPr>
          <w:rFonts w:hint="eastAsia" w:hAnsi="宋体" w:cs="宋体"/>
          <w:color w:val="auto"/>
          <w:sz w:val="24"/>
          <w:szCs w:val="24"/>
          <w:highlight w:val="none"/>
          <w:lang w:eastAsia="zh-CN"/>
        </w:rPr>
        <w:t>培训费用等，项目在指定地点、环境交付、安装、调试、验收所需费用和所有相关税金费用及为完成整个项目所产生的其它所有费用，招标文件另有规定的除外</w:t>
      </w:r>
      <w:r>
        <w:rPr>
          <w:rFonts w:hint="eastAsia" w:ascii="宋体" w:hAnsi="宋体" w:eastAsia="宋体" w:cs="宋体"/>
          <w:color w:val="auto"/>
          <w:sz w:val="24"/>
          <w:szCs w:val="24"/>
          <w:highlight w:val="none"/>
        </w:rPr>
        <w:t>。采购人不再支付其他款项。</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报价已充分考虑项目完成的政策性调整、各种市场价格的浮动等因素造成的价格变动，项目完成期内的合同价格不作调整。</w:t>
      </w:r>
    </w:p>
    <w:p w14:paraId="01E0D5E3">
      <w:pPr>
        <w:pStyle w:val="26"/>
        <w:keepNext w:val="0"/>
        <w:keepLines w:val="0"/>
        <w:pageBreakBefore w:val="0"/>
        <w:spacing w:line="46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3、乙方在履行合同过程中,所发生的全部生产、生活、安全等费用均由乙方负责。</w:t>
      </w:r>
    </w:p>
    <w:p w14:paraId="6E6946AE">
      <w:pPr>
        <w:keepNext w:val="0"/>
        <w:keepLines w:val="0"/>
        <w:pageBreakBefore w:val="0"/>
        <w:widowControl/>
        <w:spacing w:line="460" w:lineRule="exact"/>
        <w:ind w:firstLine="562"/>
        <w:jc w:val="both"/>
        <w:rPr>
          <w:rFonts w:hint="eastAsia" w:ascii="宋体" w:hAnsi="宋体" w:eastAsia="宋体" w:cs="宋体"/>
          <w:b/>
          <w:bCs/>
          <w:sz w:val="24"/>
          <w:szCs w:val="24"/>
        </w:rPr>
      </w:pPr>
      <w:r>
        <w:rPr>
          <w:rFonts w:hint="eastAsia" w:ascii="宋体" w:hAnsi="宋体" w:eastAsia="宋体" w:cs="宋体"/>
          <w:b/>
          <w:bCs/>
          <w:sz w:val="24"/>
          <w:szCs w:val="24"/>
        </w:rPr>
        <w:t>三、税费</w:t>
      </w:r>
    </w:p>
    <w:p w14:paraId="0D9C5AF7">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3.1中国政府根据现行税法规定对乙方征收的、与本合同有关的一切税费，均由乙方负担。</w:t>
      </w:r>
    </w:p>
    <w:p w14:paraId="49C2D7F4">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3.2在中国境外发生的与本合同执行过程的一切税费由乙方负担。</w:t>
      </w:r>
    </w:p>
    <w:p w14:paraId="40F87BA8">
      <w:pPr>
        <w:keepNext w:val="0"/>
        <w:keepLines w:val="0"/>
        <w:pageBreakBefore w:val="0"/>
        <w:spacing w:line="460" w:lineRule="exact"/>
        <w:ind w:firstLine="562"/>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rPr>
        <w:t>四、合同履行期限</w:t>
      </w:r>
    </w:p>
    <w:p w14:paraId="02F9B273">
      <w:pPr>
        <w:pStyle w:val="45"/>
        <w:keepNext w:val="0"/>
        <w:keepLines w:val="0"/>
        <w:pageBreakBefore w:val="0"/>
        <w:spacing w:before="120" w:beforeAutospacing="0" w:after="120" w:afterAutospacing="0" w:line="460" w:lineRule="exact"/>
        <w:ind w:firstLine="480"/>
        <w:jc w:val="both"/>
        <w:rPr>
          <w:rFonts w:hint="eastAsia" w:ascii="宋体" w:hAnsi="宋体" w:eastAsia="宋体" w:cs="宋体"/>
          <w:color w:val="auto"/>
          <w:sz w:val="24"/>
          <w:szCs w:val="24"/>
          <w:lang w:eastAsia="zh-CN"/>
        </w:rPr>
      </w:pPr>
      <w:r>
        <w:rPr>
          <w:rFonts w:hint="eastAsia" w:cs="宋体"/>
          <w:color w:val="auto"/>
          <w:sz w:val="24"/>
          <w:szCs w:val="24"/>
          <w:lang w:eastAsia="zh-CN"/>
        </w:rPr>
        <w:t>五年（注：合同履行期内如甲方更换新设备，则维保服务自动终止，维保费用按实际服务时间计算）。</w:t>
      </w:r>
    </w:p>
    <w:p w14:paraId="6E4F45D1">
      <w:pPr>
        <w:pStyle w:val="45"/>
        <w:keepNext w:val="0"/>
        <w:keepLines w:val="0"/>
        <w:pageBreakBefore w:val="0"/>
        <w:spacing w:before="120" w:beforeAutospacing="0" w:after="120" w:afterAutospacing="0" w:line="460" w:lineRule="exact"/>
        <w:ind w:firstLine="482"/>
        <w:jc w:val="both"/>
        <w:rPr>
          <w:rFonts w:hint="eastAsia" w:ascii="宋体" w:hAnsi="宋体" w:eastAsia="宋体" w:cs="宋体"/>
          <w:color w:val="auto"/>
          <w:sz w:val="24"/>
          <w:szCs w:val="24"/>
        </w:rPr>
      </w:pPr>
      <w:r>
        <w:rPr>
          <w:rFonts w:hint="eastAsia" w:ascii="宋体" w:hAnsi="宋体" w:eastAsia="宋体" w:cs="宋体"/>
          <w:b/>
          <w:bCs/>
          <w:color w:val="auto"/>
          <w:sz w:val="24"/>
          <w:szCs w:val="24"/>
        </w:rPr>
        <w:t>五、质量要求</w:t>
      </w:r>
      <w:r>
        <w:rPr>
          <w:rFonts w:hint="eastAsia" w:ascii="宋体" w:hAnsi="宋体" w:eastAsia="宋体" w:cs="宋体"/>
          <w:b/>
          <w:bCs/>
          <w:color w:val="auto"/>
          <w:sz w:val="24"/>
          <w:szCs w:val="24"/>
          <w:lang w:eastAsia="zh-CN"/>
        </w:rPr>
        <w:t>：</w:t>
      </w:r>
      <w:r>
        <w:rPr>
          <w:rFonts w:hint="eastAsia" w:cs="宋体"/>
          <w:color w:val="auto"/>
          <w:sz w:val="24"/>
          <w:szCs w:val="24"/>
          <w:lang w:eastAsia="zh-CN"/>
        </w:rPr>
        <w:t>合格标准，符合相关国家标准及招标文件的要求</w:t>
      </w:r>
      <w:r>
        <w:rPr>
          <w:rFonts w:hint="eastAsia" w:ascii="宋体" w:hAnsi="宋体" w:eastAsia="宋体" w:cs="宋体"/>
          <w:color w:val="auto"/>
          <w:sz w:val="24"/>
          <w:szCs w:val="24"/>
        </w:rPr>
        <w:t>。</w:t>
      </w:r>
    </w:p>
    <w:p w14:paraId="7516320A">
      <w:pPr>
        <w:keepNext w:val="0"/>
        <w:keepLines w:val="0"/>
        <w:pageBreakBefore w:val="0"/>
        <w:spacing w:line="460" w:lineRule="exact"/>
        <w:ind w:firstLine="562"/>
        <w:jc w:val="both"/>
        <w:rPr>
          <w:rFonts w:hint="eastAsia" w:ascii="宋体" w:hAnsi="宋体" w:eastAsia="宋体" w:cs="宋体"/>
          <w:sz w:val="24"/>
          <w:szCs w:val="24"/>
        </w:rPr>
      </w:pPr>
      <w:r>
        <w:rPr>
          <w:rFonts w:hint="eastAsia" w:ascii="宋体" w:hAnsi="宋体" w:eastAsia="宋体" w:cs="宋体"/>
          <w:b/>
          <w:bCs/>
          <w:sz w:val="24"/>
          <w:szCs w:val="24"/>
        </w:rPr>
        <w:t>六、付款</w:t>
      </w:r>
    </w:p>
    <w:p w14:paraId="4B5A76B1">
      <w:pPr>
        <w:keepNext w:val="0"/>
        <w:keepLines w:val="0"/>
        <w:pageBreakBefore w:val="0"/>
        <w:widowControl/>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付款以人民币通过银行给付，统一汇至乙方的基本银行账户。具体付款幅度如下：</w:t>
      </w:r>
    </w:p>
    <w:p w14:paraId="3E3229BD">
      <w:pPr>
        <w:keepNext w:val="0"/>
        <w:keepLines w:val="0"/>
        <w:pageBreakBefore w:val="0"/>
        <w:widowControl/>
        <w:spacing w:line="460" w:lineRule="exact"/>
        <w:ind w:firstLine="560"/>
        <w:jc w:val="both"/>
        <w:rPr>
          <w:rFonts w:hint="eastAsia" w:ascii="宋体" w:hAnsi="宋体" w:eastAsia="宋体" w:cs="宋体"/>
          <w:color w:val="auto"/>
          <w:sz w:val="24"/>
          <w:szCs w:val="24"/>
        </w:rPr>
      </w:pPr>
      <w:r>
        <w:rPr>
          <w:rFonts w:hint="eastAsia" w:ascii="宋体" w:hAnsi="宋体" w:eastAsia="宋体" w:cs="宋体"/>
          <w:color w:val="0000FF"/>
          <w:sz w:val="24"/>
          <w:szCs w:val="24"/>
        </w:rPr>
        <w:t xml:space="preserve"> 1.</w:t>
      </w:r>
      <w:r>
        <w:rPr>
          <w:rFonts w:hint="eastAsia" w:ascii="宋体" w:hAnsi="宋体" w:cs="宋体"/>
          <w:color w:val="0000FF"/>
          <w:sz w:val="24"/>
          <w:szCs w:val="24"/>
          <w:lang w:eastAsia="zh-CN"/>
        </w:rPr>
        <w:t>合同签订后十日内</w:t>
      </w:r>
      <w:r>
        <w:rPr>
          <w:rFonts w:hint="eastAsia" w:ascii="宋体" w:hAnsi="宋体" w:eastAsia="宋体" w:cs="宋体"/>
          <w:color w:val="0000FF"/>
          <w:sz w:val="24"/>
          <w:szCs w:val="24"/>
        </w:rPr>
        <w:t>，支付合同总价的</w:t>
      </w:r>
      <w:r>
        <w:rPr>
          <w:rFonts w:hint="eastAsia" w:ascii="宋体" w:hAnsi="宋体" w:cs="宋体"/>
          <w:color w:val="0000FF"/>
          <w:sz w:val="24"/>
          <w:szCs w:val="24"/>
          <w:lang w:val="en-US" w:eastAsia="zh-CN"/>
        </w:rPr>
        <w:t>3</w:t>
      </w:r>
      <w:r>
        <w:rPr>
          <w:rFonts w:hint="eastAsia" w:ascii="宋体" w:hAnsi="宋体" w:eastAsia="宋体" w:cs="宋体"/>
          <w:color w:val="0000FF"/>
          <w:sz w:val="24"/>
          <w:szCs w:val="24"/>
        </w:rPr>
        <w:t>0%预付款；余款按中标价格分20个季度支付，每季度服务结束结算上一个季度维保费用（以上付款均无息）。</w:t>
      </w:r>
    </w:p>
    <w:p w14:paraId="0B075CCD">
      <w:pPr>
        <w:keepNext w:val="0"/>
        <w:keepLines w:val="0"/>
        <w:pageBreakBefore w:val="0"/>
        <w:widowControl/>
        <w:spacing w:line="460" w:lineRule="exact"/>
        <w:ind w:firstLine="56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   2.在签订合同时，乙方明确表示无需预付款或者主动要求降低预付款比例的，甲方可不适用上述关于预付款的规定。</w:t>
      </w:r>
    </w:p>
    <w:p w14:paraId="54FCDFD7">
      <w:pPr>
        <w:keepNext w:val="0"/>
        <w:keepLines w:val="0"/>
        <w:pageBreakBefore w:val="0"/>
        <w:widowControl/>
        <w:spacing w:line="460" w:lineRule="exact"/>
        <w:ind w:firstLine="560"/>
        <w:jc w:val="both"/>
        <w:rPr>
          <w:rFonts w:hint="eastAsia" w:ascii="宋体" w:hAnsi="宋体" w:eastAsia="宋体" w:cs="宋体"/>
          <w:color w:val="auto"/>
          <w:sz w:val="24"/>
          <w:szCs w:val="24"/>
        </w:rPr>
      </w:pPr>
      <w:r>
        <w:rPr>
          <w:rFonts w:hint="eastAsia" w:ascii="宋体" w:hAnsi="宋体" w:eastAsia="宋体" w:cs="宋体"/>
          <w:color w:val="auto"/>
          <w:sz w:val="24"/>
          <w:szCs w:val="24"/>
        </w:rPr>
        <w:t>注：乙方向甲方申请付款时，应向甲方提供合法有效且符合甲方要求的发票和预付款保函，否则甲方有权迟延付款且不承担逾期付款违约责任。</w:t>
      </w:r>
    </w:p>
    <w:p w14:paraId="0967E897">
      <w:pPr>
        <w:keepNext w:val="0"/>
        <w:keepLines w:val="0"/>
        <w:pageBreakBefore w:val="0"/>
        <w:widowControl/>
        <w:spacing w:line="460" w:lineRule="exact"/>
        <w:ind w:firstLine="562"/>
        <w:jc w:val="both"/>
        <w:rPr>
          <w:rFonts w:hint="eastAsia" w:ascii="宋体" w:hAnsi="宋体" w:eastAsia="宋体" w:cs="宋体"/>
          <w:b/>
          <w:bCs/>
          <w:sz w:val="24"/>
          <w:szCs w:val="24"/>
        </w:rPr>
      </w:pPr>
      <w:r>
        <w:rPr>
          <w:rFonts w:hint="eastAsia" w:ascii="宋体" w:hAnsi="宋体" w:eastAsia="宋体" w:cs="宋体"/>
          <w:b/>
          <w:bCs/>
          <w:sz w:val="24"/>
          <w:szCs w:val="24"/>
        </w:rPr>
        <w:t xml:space="preserve">七、甲方义务 </w:t>
      </w:r>
    </w:p>
    <w:p w14:paraId="2712CAA7">
      <w:pPr>
        <w:keepNext w:val="0"/>
        <w:keepLines w:val="0"/>
        <w:pageBreakBefore w:val="0"/>
        <w:widowControl/>
        <w:spacing w:line="460" w:lineRule="exact"/>
        <w:ind w:firstLine="560"/>
        <w:jc w:val="both"/>
        <w:rPr>
          <w:rFonts w:hint="eastAsia" w:ascii="宋体" w:hAnsi="宋体" w:eastAsia="宋体" w:cs="宋体"/>
          <w:bCs/>
          <w:sz w:val="24"/>
          <w:szCs w:val="24"/>
        </w:rPr>
      </w:pPr>
      <w:r>
        <w:rPr>
          <w:rFonts w:hint="eastAsia" w:ascii="宋体" w:hAnsi="宋体" w:eastAsia="宋体" w:cs="宋体"/>
          <w:bCs/>
          <w:sz w:val="24"/>
          <w:szCs w:val="24"/>
        </w:rPr>
        <w:t>7.1负责本项目的组织协调，配合乙方做好相关资料收集和准备工作。</w:t>
      </w:r>
    </w:p>
    <w:p w14:paraId="7BF4A6FB">
      <w:pPr>
        <w:keepNext w:val="0"/>
        <w:keepLines w:val="0"/>
        <w:pageBreakBefore w:val="0"/>
        <w:widowControl/>
        <w:spacing w:line="460" w:lineRule="exact"/>
        <w:ind w:firstLine="560"/>
        <w:jc w:val="both"/>
        <w:rPr>
          <w:rFonts w:hint="eastAsia" w:ascii="宋体" w:hAnsi="宋体" w:eastAsia="宋体" w:cs="宋体"/>
          <w:bCs/>
          <w:sz w:val="24"/>
          <w:szCs w:val="24"/>
        </w:rPr>
      </w:pPr>
      <w:r>
        <w:rPr>
          <w:rFonts w:hint="eastAsia" w:ascii="宋体" w:hAnsi="宋体" w:eastAsia="宋体" w:cs="宋体"/>
          <w:bCs/>
          <w:sz w:val="24"/>
          <w:szCs w:val="24"/>
        </w:rPr>
        <w:t>7.2对乙方成果进行检查，按时足额向乙方支付工作经费。</w:t>
      </w:r>
    </w:p>
    <w:p w14:paraId="4A144407">
      <w:pPr>
        <w:keepNext w:val="0"/>
        <w:keepLines w:val="0"/>
        <w:pageBreakBefore w:val="0"/>
        <w:widowControl/>
        <w:spacing w:line="460" w:lineRule="exact"/>
        <w:ind w:firstLine="562"/>
        <w:jc w:val="both"/>
        <w:rPr>
          <w:rFonts w:hint="eastAsia" w:ascii="宋体" w:hAnsi="宋体" w:eastAsia="宋体" w:cs="宋体"/>
          <w:b/>
          <w:bCs/>
          <w:sz w:val="24"/>
          <w:szCs w:val="24"/>
        </w:rPr>
      </w:pPr>
      <w:r>
        <w:rPr>
          <w:rFonts w:hint="eastAsia" w:ascii="宋体" w:hAnsi="宋体" w:eastAsia="宋体" w:cs="宋体"/>
          <w:b/>
          <w:bCs/>
          <w:sz w:val="24"/>
          <w:szCs w:val="24"/>
        </w:rPr>
        <w:t>八、乙方义务</w:t>
      </w:r>
    </w:p>
    <w:p w14:paraId="4B27B4FF">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bCs/>
          <w:sz w:val="24"/>
          <w:szCs w:val="24"/>
        </w:rPr>
        <w:t>严格按照甲方的委托要求独立开展工作并保证及时保质保量完成本委托业务，</w:t>
      </w:r>
      <w:r>
        <w:rPr>
          <w:rFonts w:hint="eastAsia" w:ascii="宋体" w:hAnsi="宋体" w:eastAsia="宋体" w:cs="宋体"/>
          <w:sz w:val="24"/>
          <w:szCs w:val="24"/>
        </w:rPr>
        <w:t>根据甲方要求提交的成果格式及文件交付时间，提交相关文字及电子数据成果资料。</w:t>
      </w:r>
    </w:p>
    <w:p w14:paraId="12B8B0A8">
      <w:pPr>
        <w:keepNext w:val="0"/>
        <w:keepLines w:val="0"/>
        <w:pageBreakBefore w:val="0"/>
        <w:widowControl/>
        <w:spacing w:line="460" w:lineRule="exact"/>
        <w:ind w:firstLine="562"/>
        <w:jc w:val="both"/>
        <w:rPr>
          <w:rFonts w:hint="eastAsia" w:ascii="宋体" w:hAnsi="宋体" w:eastAsia="宋体" w:cs="宋体"/>
          <w:b/>
          <w:sz w:val="24"/>
          <w:szCs w:val="24"/>
        </w:rPr>
      </w:pPr>
      <w:r>
        <w:rPr>
          <w:rFonts w:hint="eastAsia" w:ascii="宋体" w:hAnsi="宋体" w:eastAsia="宋体" w:cs="宋体"/>
          <w:b/>
          <w:sz w:val="24"/>
          <w:szCs w:val="24"/>
        </w:rPr>
        <w:t>九、双方权利</w:t>
      </w:r>
    </w:p>
    <w:p w14:paraId="0E93EEC9">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（一）甲方权利</w:t>
      </w:r>
    </w:p>
    <w:p w14:paraId="249FD28F">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9.1.1甲方有权要求乙方按合同规定提供咨询服务。</w:t>
      </w:r>
    </w:p>
    <w:p w14:paraId="40CE221F">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9.1.2乙方违反合同任何条款，甲方有权提前3天以书面形式通知乙方终止合同。</w:t>
      </w:r>
    </w:p>
    <w:p w14:paraId="1E069C1F">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9.1.3非经甲方书面同意，乙方不得向任何第三方透露咨询项目的任何内容。</w:t>
      </w:r>
    </w:p>
    <w:p w14:paraId="35CBAC97">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9.1.4乙方不得向任何第三方透露从甲方得到或研究发现的甲方内部信息。</w:t>
      </w:r>
    </w:p>
    <w:p w14:paraId="21B6EF86">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9.1.5乙方人员在甲方活动时，需听从甲方有关人员安排和引导。</w:t>
      </w:r>
    </w:p>
    <w:p w14:paraId="7EDBB139">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9.1.6甲方提出收回向乙方提供的有关资料时，乙方应按照甲方要求将有关资料及其复制件返还甲方。</w:t>
      </w:r>
    </w:p>
    <w:p w14:paraId="37CAF0B6">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9.1.7甲方在项目结束后，有权要求乙方提供招标文件和合同要求中约定的全部资料。</w:t>
      </w:r>
    </w:p>
    <w:p w14:paraId="31D119D1">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9.1.8甲方委托乙方研究形成的工作报告书及相应成果知识产权归甲方所有。</w:t>
      </w:r>
    </w:p>
    <w:p w14:paraId="71B1D4B2">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（二）乙方权利</w:t>
      </w:r>
    </w:p>
    <w:p w14:paraId="537579D7">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9.2.1乙方有权要求甲方遵守本合同规定及其附件。</w:t>
      </w:r>
    </w:p>
    <w:p w14:paraId="703CAEC4">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9.2.2未经乙方书面同意，甲方不得向任何第三方透露咨询项目合同、咨询费用等相关的信息。</w:t>
      </w:r>
    </w:p>
    <w:p w14:paraId="1A4F41BF">
      <w:pPr>
        <w:keepNext w:val="0"/>
        <w:keepLines w:val="0"/>
        <w:pageBreakBefore w:val="0"/>
        <w:spacing w:line="460" w:lineRule="exact"/>
        <w:ind w:firstLine="562"/>
        <w:jc w:val="both"/>
        <w:rPr>
          <w:rFonts w:hint="eastAsia" w:ascii="宋体" w:hAnsi="宋体" w:eastAsia="宋体" w:cs="宋体"/>
          <w:b/>
          <w:sz w:val="24"/>
          <w:szCs w:val="24"/>
        </w:rPr>
      </w:pPr>
      <w:r>
        <w:rPr>
          <w:rFonts w:hint="eastAsia" w:ascii="宋体" w:hAnsi="宋体" w:eastAsia="宋体" w:cs="宋体"/>
          <w:b/>
          <w:sz w:val="24"/>
          <w:szCs w:val="24"/>
        </w:rPr>
        <w:t>十、双方责任</w:t>
      </w:r>
    </w:p>
    <w:p w14:paraId="0412014E">
      <w:pPr>
        <w:keepNext w:val="0"/>
        <w:keepLines w:val="0"/>
        <w:pageBreakBefore w:val="0"/>
        <w:spacing w:line="460" w:lineRule="exact"/>
        <w:ind w:firstLine="560"/>
        <w:jc w:val="both"/>
        <w:rPr>
          <w:rFonts w:hint="eastAsia" w:ascii="宋体" w:hAnsi="宋体" w:eastAsia="宋体" w:cs="宋体"/>
          <w:bCs/>
          <w:sz w:val="24"/>
          <w:szCs w:val="24"/>
        </w:rPr>
      </w:pPr>
      <w:r>
        <w:rPr>
          <w:rFonts w:hint="eastAsia" w:ascii="宋体" w:hAnsi="宋体" w:eastAsia="宋体" w:cs="宋体"/>
          <w:bCs/>
          <w:sz w:val="24"/>
          <w:szCs w:val="24"/>
        </w:rPr>
        <w:t>（一）甲方责任</w:t>
      </w:r>
    </w:p>
    <w:p w14:paraId="396BA753">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10.1.1甲方必须遵守本合同之规定及相关法律规定。</w:t>
      </w:r>
    </w:p>
    <w:p w14:paraId="3DC6D314">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10.1.2甲方向乙方提供可靠、详细的资料，并保证资料的真实性、准确性。</w:t>
      </w:r>
    </w:p>
    <w:p w14:paraId="6252C04E">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（二）乙方责任</w:t>
      </w:r>
    </w:p>
    <w:p w14:paraId="63333E24">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10.2.1乙方必须遵守本合同之规定及相关法律规定。</w:t>
      </w:r>
    </w:p>
    <w:p w14:paraId="545EB47C">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10.2.2乙方不得拒绝甲方委托乙方研究内容的相关咨询，对甲方的咨询乙方必须给予正式的书面答复，并应具有科学性和适用性。</w:t>
      </w:r>
    </w:p>
    <w:p w14:paraId="233DBEFB">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10.2.3乙方按照本合同及附件为甲方提供服务工作，乙方需要对项目组主要成员进行调整时，须书面征得甲方同意。</w:t>
      </w:r>
    </w:p>
    <w:p w14:paraId="4FC798D2">
      <w:pPr>
        <w:keepNext w:val="0"/>
        <w:keepLines w:val="0"/>
        <w:pageBreakBefore w:val="0"/>
        <w:spacing w:line="460" w:lineRule="exact"/>
        <w:ind w:firstLine="562"/>
        <w:jc w:val="both"/>
        <w:rPr>
          <w:rFonts w:hint="eastAsia" w:ascii="宋体" w:hAnsi="宋体" w:eastAsia="宋体" w:cs="宋体"/>
          <w:b/>
          <w:bCs/>
          <w:sz w:val="24"/>
          <w:szCs w:val="24"/>
        </w:rPr>
      </w:pPr>
      <w:r>
        <w:rPr>
          <w:rFonts w:hint="eastAsia" w:ascii="宋体" w:hAnsi="宋体" w:eastAsia="宋体" w:cs="宋体"/>
          <w:b/>
          <w:bCs/>
          <w:sz w:val="24"/>
          <w:szCs w:val="24"/>
        </w:rPr>
        <w:t>十一、违约</w:t>
      </w:r>
    </w:p>
    <w:p w14:paraId="0D4439E9">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11.1甲方或乙方违反合同规定造成损失的应承担违约责任；</w:t>
      </w:r>
    </w:p>
    <w:p w14:paraId="6976CB5C">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11.2因乙方提供的成果造成甲方损失的，由乙方继续完善成果，并按损失的大小减收服务费；</w:t>
      </w:r>
    </w:p>
    <w:p w14:paraId="101DC99A">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11.3如由于乙方错误造成重大损失，乙方除负责采取补救措施外，应免收损失部分的服务费，并根据损失程度向甲方偿付赔偿金，赔偿金最多与免收的服务费金额相等；</w:t>
      </w:r>
    </w:p>
    <w:p w14:paraId="3BD5E974">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11.4由于乙方自身原因，延误了按本合同条款第3条规定的成果文件交付时间，每延误一天，减收该项目应收服务费的千分之二，误期罚款总额不应超过合同价款的百分之十；</w:t>
      </w:r>
    </w:p>
    <w:p w14:paraId="70C1E775">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11.5在合同履行期间，非乙方原因，甲方要求终止或解除合同，乙方不退还甲方已付的合同价款；乙方已开始服务工作的，甲方应根据乙方已进行的实际工作量，支付价款；</w:t>
      </w:r>
    </w:p>
    <w:p w14:paraId="2E931F02">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11.6合同生效后，非甲方原因乙方要求终止或解除合同，应双倍返还已付合同价款。</w:t>
      </w:r>
    </w:p>
    <w:p w14:paraId="7E692E78">
      <w:pPr>
        <w:keepNext w:val="0"/>
        <w:keepLines w:val="0"/>
        <w:pageBreakBefore w:val="0"/>
        <w:spacing w:line="460" w:lineRule="exact"/>
        <w:ind w:firstLine="562"/>
        <w:jc w:val="both"/>
        <w:rPr>
          <w:rFonts w:hint="eastAsia" w:ascii="宋体" w:hAnsi="宋体" w:eastAsia="宋体" w:cs="宋体"/>
          <w:b/>
          <w:bCs/>
          <w:sz w:val="24"/>
          <w:szCs w:val="24"/>
        </w:rPr>
      </w:pPr>
      <w:r>
        <w:rPr>
          <w:rFonts w:hint="eastAsia" w:ascii="宋体" w:hAnsi="宋体" w:eastAsia="宋体" w:cs="宋体"/>
          <w:b/>
          <w:bCs/>
          <w:sz w:val="24"/>
          <w:szCs w:val="24"/>
        </w:rPr>
        <w:t>十二、转让</w:t>
      </w:r>
    </w:p>
    <w:p w14:paraId="5BCA332E">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除甲方事先书面同意外，乙方不得转让任何其应履行的合同义务。</w:t>
      </w:r>
    </w:p>
    <w:p w14:paraId="0673A549">
      <w:pPr>
        <w:keepNext w:val="0"/>
        <w:keepLines w:val="0"/>
        <w:pageBreakBefore w:val="0"/>
        <w:spacing w:line="460" w:lineRule="exact"/>
        <w:ind w:firstLine="562"/>
        <w:jc w:val="both"/>
        <w:rPr>
          <w:rFonts w:hint="eastAsia" w:ascii="宋体" w:hAnsi="宋体" w:eastAsia="宋体" w:cs="宋体"/>
          <w:b/>
          <w:bCs/>
          <w:sz w:val="24"/>
          <w:szCs w:val="24"/>
        </w:rPr>
      </w:pPr>
      <w:r>
        <w:rPr>
          <w:rFonts w:hint="eastAsia" w:ascii="宋体" w:hAnsi="宋体" w:eastAsia="宋体" w:cs="宋体"/>
          <w:b/>
          <w:bCs/>
          <w:sz w:val="24"/>
          <w:szCs w:val="24"/>
        </w:rPr>
        <w:t>十三、履约保证金</w:t>
      </w:r>
    </w:p>
    <w:p w14:paraId="39C486CE">
      <w:pPr>
        <w:keepNext w:val="0"/>
        <w:keepLines w:val="0"/>
        <w:pageBreakBefore w:val="0"/>
        <w:spacing w:line="460" w:lineRule="exact"/>
        <w:ind w:firstLine="562"/>
        <w:jc w:val="both"/>
        <w:rPr>
          <w:rFonts w:hint="eastAsia" w:ascii="宋体" w:hAnsi="宋体" w:cs="宋体"/>
          <w:sz w:val="24"/>
          <w:szCs w:val="24"/>
          <w:lang w:val="en-US" w:eastAsia="zh-CN"/>
        </w:rPr>
      </w:pPr>
      <w:r>
        <w:rPr>
          <w:rFonts w:hint="eastAsia" w:ascii="宋体" w:hAnsi="宋体" w:cs="宋体"/>
          <w:sz w:val="24"/>
          <w:szCs w:val="24"/>
          <w:lang w:val="en-US" w:eastAsia="zh-CN"/>
        </w:rPr>
        <w:t>13.1乙方交纳人民币_________元作为本合同的履约保证金。</w:t>
      </w:r>
    </w:p>
    <w:p w14:paraId="012AECCB">
      <w:pPr>
        <w:keepNext w:val="0"/>
        <w:keepLines w:val="0"/>
        <w:pageBreakBefore w:val="0"/>
        <w:spacing w:line="460" w:lineRule="exact"/>
        <w:ind w:firstLine="562"/>
        <w:jc w:val="both"/>
        <w:rPr>
          <w:rFonts w:hint="eastAsia" w:ascii="宋体" w:hAnsi="宋体" w:cs="宋体"/>
          <w:sz w:val="24"/>
          <w:szCs w:val="24"/>
          <w:lang w:val="en-US" w:eastAsia="zh-CN"/>
        </w:rPr>
      </w:pPr>
      <w:r>
        <w:rPr>
          <w:rFonts w:hint="eastAsia" w:ascii="宋体" w:hAnsi="宋体" w:cs="宋体"/>
          <w:sz w:val="24"/>
          <w:szCs w:val="24"/>
          <w:lang w:val="en-US" w:eastAsia="zh-CN"/>
        </w:rPr>
        <w:t>13.2确需收取履约保证金的，履约保证金的缴纳形式：</w:t>
      </w:r>
    </w:p>
    <w:p w14:paraId="4CCB1B6B">
      <w:pPr>
        <w:keepNext w:val="0"/>
        <w:keepLines w:val="0"/>
        <w:pageBreakBefore w:val="0"/>
        <w:spacing w:line="460" w:lineRule="exact"/>
        <w:ind w:firstLine="562"/>
        <w:jc w:val="both"/>
        <w:rPr>
          <w:rFonts w:hint="eastAsia" w:ascii="宋体" w:hAnsi="宋体" w:cs="宋体"/>
          <w:sz w:val="24"/>
          <w:szCs w:val="24"/>
          <w:lang w:val="en-US" w:eastAsia="zh-CN"/>
        </w:rPr>
      </w:pPr>
      <w:r>
        <w:rPr>
          <w:rFonts w:hint="eastAsia" w:ascii="宋体" w:hAnsi="宋体" w:cs="宋体"/>
          <w:sz w:val="24"/>
          <w:szCs w:val="24"/>
          <w:lang w:val="en-US" w:eastAsia="zh-CN"/>
        </w:rPr>
        <w:t>13.2.1本项目履约保证金按中标（合同）价的5%执行，中标人应在签订合同前将履约保证金应当以支票、汇票、本票或者金融机构、担保机构出具的保函等非现金形式提交履约保证金。以转帐、电汇或银行汇票等形式从乙方的帐户转至下列账户，</w:t>
      </w:r>
      <w:r>
        <w:rPr>
          <w:rFonts w:hint="eastAsia" w:ascii="宋体" w:hAnsi="宋体" w:cs="宋体"/>
          <w:sz w:val="24"/>
          <w:szCs w:val="24"/>
          <w:highlight w:val="none"/>
          <w:lang w:val="en-US" w:eastAsia="zh-CN"/>
        </w:rPr>
        <w:t>收款单位名称：阜宁县卫生健康委员会财务核算中心一沟墩卫生院，开户银行：中国农业银行股份有限公司阜宁丽都支行；帐号：10408401040004549。</w:t>
      </w:r>
      <w:r>
        <w:rPr>
          <w:rFonts w:hint="eastAsia" w:ascii="宋体" w:hAnsi="宋体" w:cs="宋体"/>
          <w:sz w:val="24"/>
          <w:szCs w:val="24"/>
          <w:lang w:val="en-US" w:eastAsia="zh-CN"/>
        </w:rPr>
        <w:t>依据《关于在全省政府采购领域推行电子履约保函（保险）的通知》，鼓励供应商自愿使用电子履约保函（保险）代替缴纳履约保证金。</w:t>
      </w:r>
    </w:p>
    <w:p w14:paraId="0E9FF2C6">
      <w:pPr>
        <w:keepNext w:val="0"/>
        <w:keepLines w:val="0"/>
        <w:pageBreakBefore w:val="0"/>
        <w:spacing w:line="460" w:lineRule="exact"/>
        <w:ind w:firstLine="562"/>
        <w:jc w:val="both"/>
        <w:rPr>
          <w:rFonts w:hint="eastAsia" w:ascii="宋体" w:hAnsi="宋体" w:cs="宋体"/>
          <w:sz w:val="24"/>
          <w:szCs w:val="24"/>
          <w:lang w:val="en-US" w:eastAsia="zh-CN"/>
        </w:rPr>
      </w:pPr>
      <w:r>
        <w:rPr>
          <w:rFonts w:hint="eastAsia" w:ascii="宋体" w:hAnsi="宋体" w:cs="宋体"/>
          <w:sz w:val="24"/>
          <w:szCs w:val="24"/>
          <w:lang w:val="en-US" w:eastAsia="zh-CN"/>
        </w:rPr>
        <w:t>13.2.2 如以履约保函（保险）形式缴纳履约保证金，供应商可通过政府采购电子履约保函（保险）平台（www.jsdzbh.com）在线申请履约保函（保险）。</w:t>
      </w:r>
    </w:p>
    <w:p w14:paraId="448AABBC">
      <w:pPr>
        <w:keepNext w:val="0"/>
        <w:keepLines w:val="0"/>
        <w:pageBreakBefore w:val="0"/>
        <w:spacing w:line="460" w:lineRule="exact"/>
        <w:ind w:firstLine="562"/>
        <w:jc w:val="both"/>
        <w:rPr>
          <w:rFonts w:hint="eastAsia" w:ascii="宋体" w:hAnsi="宋体" w:cs="宋体"/>
          <w:sz w:val="24"/>
          <w:szCs w:val="24"/>
          <w:lang w:val="en-US" w:eastAsia="zh-CN"/>
        </w:rPr>
      </w:pPr>
      <w:r>
        <w:rPr>
          <w:rFonts w:hint="eastAsia" w:ascii="宋体" w:hAnsi="宋体" w:cs="宋体"/>
          <w:sz w:val="24"/>
          <w:szCs w:val="24"/>
          <w:lang w:val="en-US" w:eastAsia="zh-CN"/>
        </w:rPr>
        <w:t>13.3合同履行结束后，甲方应及时向供应商签署履约保证金退还意见，由供应商到</w:t>
      </w:r>
      <w:r>
        <w:rPr>
          <w:rFonts w:hint="eastAsia" w:ascii="宋体" w:hAnsi="宋体" w:cs="宋体"/>
          <w:sz w:val="24"/>
          <w:szCs w:val="24"/>
          <w:highlight w:val="none"/>
          <w:lang w:val="en-US" w:eastAsia="zh-CN"/>
        </w:rPr>
        <w:t>阜宁县卫生健康委员会财务核算中心一沟墩卫生院</w:t>
      </w:r>
      <w:r>
        <w:rPr>
          <w:rFonts w:hint="eastAsia" w:ascii="宋体" w:hAnsi="宋体" w:cs="宋体"/>
          <w:sz w:val="24"/>
          <w:szCs w:val="24"/>
          <w:lang w:val="en-US" w:eastAsia="zh-CN"/>
        </w:rPr>
        <w:t>退还交纳的履约保证金。</w:t>
      </w:r>
    </w:p>
    <w:p w14:paraId="547B35F0">
      <w:pPr>
        <w:keepNext w:val="0"/>
        <w:keepLines w:val="0"/>
        <w:pageBreakBefore w:val="0"/>
        <w:spacing w:line="460" w:lineRule="exact"/>
        <w:ind w:firstLine="562"/>
        <w:jc w:val="both"/>
        <w:rPr>
          <w:rFonts w:hint="eastAsia" w:ascii="宋体" w:hAnsi="宋体" w:cs="宋体"/>
          <w:sz w:val="24"/>
          <w:szCs w:val="24"/>
          <w:lang w:val="en-US" w:eastAsia="zh-CN"/>
        </w:rPr>
      </w:pPr>
      <w:r>
        <w:rPr>
          <w:rFonts w:hint="eastAsia" w:ascii="宋体" w:hAnsi="宋体" w:cs="宋体"/>
          <w:sz w:val="24"/>
          <w:szCs w:val="24"/>
          <w:lang w:val="en-US" w:eastAsia="zh-CN"/>
        </w:rPr>
        <w:t>13.4履约保证金的退还：</w:t>
      </w:r>
    </w:p>
    <w:p w14:paraId="11AD240A">
      <w:pPr>
        <w:keepNext w:val="0"/>
        <w:keepLines w:val="0"/>
        <w:pageBreakBefore w:val="0"/>
        <w:spacing w:line="460" w:lineRule="exact"/>
        <w:ind w:firstLine="562"/>
        <w:jc w:val="both"/>
        <w:rPr>
          <w:rFonts w:hint="eastAsia" w:ascii="宋体" w:hAnsi="宋体" w:cs="宋体"/>
          <w:sz w:val="24"/>
          <w:szCs w:val="24"/>
          <w:lang w:val="en-US" w:eastAsia="zh-CN"/>
        </w:rPr>
      </w:pPr>
      <w:r>
        <w:rPr>
          <w:rFonts w:hint="eastAsia" w:ascii="宋体" w:hAnsi="宋体" w:cs="宋体"/>
          <w:sz w:val="24"/>
          <w:szCs w:val="24"/>
          <w:lang w:val="en-US" w:eastAsia="zh-CN"/>
        </w:rPr>
        <w:t>13.4.1方式：无息退还至投标人缴纳履约保证金的账户。如为保函，在到期时自行失效。</w:t>
      </w:r>
    </w:p>
    <w:p w14:paraId="1D8BA799">
      <w:pPr>
        <w:keepNext w:val="0"/>
        <w:keepLines w:val="0"/>
        <w:pageBreakBefore w:val="0"/>
        <w:spacing w:line="460" w:lineRule="exact"/>
        <w:ind w:firstLine="562"/>
        <w:jc w:val="both"/>
        <w:rPr>
          <w:rFonts w:hint="eastAsia" w:ascii="宋体" w:hAnsi="宋体" w:cs="宋体"/>
          <w:sz w:val="24"/>
          <w:szCs w:val="24"/>
          <w:lang w:val="en-US" w:eastAsia="zh-CN"/>
        </w:rPr>
      </w:pPr>
      <w:r>
        <w:rPr>
          <w:rFonts w:hint="eastAsia" w:ascii="宋体" w:hAnsi="宋体" w:cs="宋体"/>
          <w:sz w:val="24"/>
          <w:szCs w:val="24"/>
          <w:lang w:val="en-US" w:eastAsia="zh-CN"/>
        </w:rPr>
        <w:t>13.4.2时间：验收合格且采购人收到退还申请后30日内。</w:t>
      </w:r>
    </w:p>
    <w:p w14:paraId="264B4766">
      <w:pPr>
        <w:keepNext w:val="0"/>
        <w:keepLines w:val="0"/>
        <w:pageBreakBefore w:val="0"/>
        <w:spacing w:line="460" w:lineRule="exact"/>
        <w:ind w:firstLine="562"/>
        <w:jc w:val="both"/>
        <w:rPr>
          <w:rFonts w:hint="eastAsia" w:ascii="宋体" w:hAnsi="宋体" w:cs="宋体"/>
          <w:sz w:val="24"/>
          <w:szCs w:val="24"/>
          <w:lang w:val="en-US" w:eastAsia="zh-CN"/>
        </w:rPr>
      </w:pPr>
      <w:r>
        <w:rPr>
          <w:rFonts w:hint="eastAsia" w:ascii="宋体" w:hAnsi="宋体" w:cs="宋体"/>
          <w:sz w:val="24"/>
          <w:szCs w:val="24"/>
          <w:lang w:val="en-US" w:eastAsia="zh-CN"/>
        </w:rPr>
        <w:t>13.4.3条件：按合同要求全部履约完成并经采购人验收合格，且采购人收到中标人出具的发票。</w:t>
      </w:r>
    </w:p>
    <w:p w14:paraId="0CA626E5">
      <w:pPr>
        <w:keepNext w:val="0"/>
        <w:keepLines w:val="0"/>
        <w:pageBreakBefore w:val="0"/>
        <w:spacing w:line="460" w:lineRule="exact"/>
        <w:ind w:firstLine="562"/>
        <w:jc w:val="both"/>
        <w:rPr>
          <w:rFonts w:hint="eastAsia" w:ascii="宋体" w:hAnsi="宋体" w:cs="宋体"/>
          <w:sz w:val="24"/>
          <w:szCs w:val="24"/>
          <w:lang w:val="en-US" w:eastAsia="zh-CN"/>
        </w:rPr>
      </w:pPr>
      <w:r>
        <w:rPr>
          <w:rFonts w:hint="eastAsia" w:ascii="宋体" w:hAnsi="宋体" w:cs="宋体"/>
          <w:sz w:val="24"/>
          <w:szCs w:val="24"/>
          <w:lang w:val="en-US" w:eastAsia="zh-CN"/>
        </w:rPr>
        <w:t>13.4.4不予退还情形：</w:t>
      </w:r>
    </w:p>
    <w:p w14:paraId="5F8383BE">
      <w:pPr>
        <w:keepNext w:val="0"/>
        <w:keepLines w:val="0"/>
        <w:pageBreakBefore w:val="0"/>
        <w:spacing w:line="460" w:lineRule="exact"/>
        <w:ind w:firstLine="562"/>
        <w:jc w:val="both"/>
        <w:rPr>
          <w:rFonts w:hint="eastAsia" w:ascii="宋体" w:hAnsi="宋体" w:cs="宋体"/>
          <w:sz w:val="24"/>
          <w:szCs w:val="24"/>
          <w:lang w:val="en-US" w:eastAsia="zh-CN"/>
        </w:rPr>
      </w:pPr>
      <w:r>
        <w:rPr>
          <w:rFonts w:hint="eastAsia" w:ascii="宋体" w:hAnsi="宋体" w:cs="宋体"/>
          <w:sz w:val="24"/>
          <w:szCs w:val="24"/>
          <w:lang w:val="en-US" w:eastAsia="zh-CN"/>
        </w:rPr>
        <w:t>除不可抗力情况外，投标人出现下列情形之一的，其履约保证金，招标人将视情节决定不予退还或部分不予退还。</w:t>
      </w:r>
    </w:p>
    <w:p w14:paraId="69AB73B6">
      <w:pPr>
        <w:keepNext w:val="0"/>
        <w:keepLines w:val="0"/>
        <w:pageBreakBefore w:val="0"/>
        <w:spacing w:line="460" w:lineRule="exact"/>
        <w:ind w:firstLine="562"/>
        <w:jc w:val="both"/>
        <w:rPr>
          <w:rFonts w:hint="eastAsia" w:ascii="宋体" w:hAnsi="宋体" w:cs="宋体"/>
          <w:sz w:val="24"/>
          <w:szCs w:val="24"/>
          <w:lang w:val="en-US" w:eastAsia="zh-CN"/>
        </w:rPr>
      </w:pPr>
      <w:r>
        <w:rPr>
          <w:rFonts w:hint="eastAsia" w:ascii="宋体" w:hAnsi="宋体" w:cs="宋体"/>
          <w:sz w:val="24"/>
          <w:szCs w:val="24"/>
          <w:lang w:val="en-US" w:eastAsia="zh-CN"/>
        </w:rPr>
        <w:t>（1）中标人无正当理由拒绝签订合同的，或者在签订合同时向采购人提出附加条件或者更改合同实质性内容要求的；</w:t>
      </w:r>
    </w:p>
    <w:p w14:paraId="640E898F">
      <w:pPr>
        <w:keepNext w:val="0"/>
        <w:keepLines w:val="0"/>
        <w:pageBreakBefore w:val="0"/>
        <w:spacing w:line="460" w:lineRule="exact"/>
        <w:ind w:firstLine="562"/>
        <w:jc w:val="both"/>
        <w:rPr>
          <w:rFonts w:hint="eastAsia" w:ascii="宋体" w:hAnsi="宋体" w:cs="宋体"/>
          <w:sz w:val="24"/>
          <w:szCs w:val="24"/>
          <w:lang w:val="en-US" w:eastAsia="zh-CN"/>
        </w:rPr>
      </w:pPr>
      <w:r>
        <w:rPr>
          <w:rFonts w:hint="eastAsia" w:ascii="宋体" w:hAnsi="宋体" w:cs="宋体"/>
          <w:sz w:val="24"/>
          <w:szCs w:val="24"/>
          <w:lang w:val="en-US" w:eastAsia="zh-CN"/>
        </w:rPr>
        <w:t>（2）中标人不履行与采购人订立的合同的；</w:t>
      </w:r>
    </w:p>
    <w:p w14:paraId="2D4A3B0D">
      <w:pPr>
        <w:keepNext w:val="0"/>
        <w:keepLines w:val="0"/>
        <w:pageBreakBefore w:val="0"/>
        <w:spacing w:line="460" w:lineRule="exact"/>
        <w:ind w:firstLine="562"/>
        <w:jc w:val="both"/>
        <w:rPr>
          <w:rFonts w:hint="eastAsia" w:ascii="宋体" w:hAnsi="宋体" w:cs="宋体"/>
          <w:sz w:val="24"/>
          <w:szCs w:val="24"/>
          <w:lang w:val="en-US" w:eastAsia="zh-CN"/>
        </w:rPr>
      </w:pPr>
      <w:r>
        <w:rPr>
          <w:rFonts w:hint="eastAsia" w:ascii="宋体" w:hAnsi="宋体" w:cs="宋体"/>
          <w:sz w:val="24"/>
          <w:szCs w:val="24"/>
          <w:lang w:val="en-US" w:eastAsia="zh-CN"/>
        </w:rPr>
        <w:t>（3）中标人所供货物或服务不符合招标文件规定要求的；</w:t>
      </w:r>
    </w:p>
    <w:p w14:paraId="26BE0BFD">
      <w:pPr>
        <w:keepNext w:val="0"/>
        <w:keepLines w:val="0"/>
        <w:pageBreakBefore w:val="0"/>
        <w:spacing w:line="460" w:lineRule="exact"/>
        <w:ind w:firstLine="562"/>
        <w:jc w:val="both"/>
        <w:rPr>
          <w:rFonts w:hint="eastAsia" w:ascii="宋体" w:hAnsi="宋体" w:cs="宋体"/>
          <w:sz w:val="24"/>
          <w:szCs w:val="24"/>
          <w:lang w:val="en-US" w:eastAsia="zh-CN"/>
        </w:rPr>
      </w:pPr>
      <w:r>
        <w:rPr>
          <w:rFonts w:hint="eastAsia" w:ascii="宋体" w:hAnsi="宋体" w:cs="宋体"/>
          <w:sz w:val="24"/>
          <w:szCs w:val="24"/>
          <w:lang w:val="en-US" w:eastAsia="zh-CN"/>
        </w:rPr>
        <w:t>（4）中标人采取欺骗、弄虚作假方式投标的或与其它投标人串通投标的；</w:t>
      </w:r>
    </w:p>
    <w:p w14:paraId="02579C0D">
      <w:pPr>
        <w:keepNext w:val="0"/>
        <w:keepLines w:val="0"/>
        <w:pageBreakBefore w:val="0"/>
        <w:spacing w:line="460" w:lineRule="exact"/>
        <w:ind w:firstLine="562"/>
        <w:jc w:val="both"/>
        <w:rPr>
          <w:rFonts w:hint="eastAsia" w:ascii="宋体" w:hAnsi="宋体" w:cs="宋体"/>
          <w:sz w:val="24"/>
          <w:szCs w:val="24"/>
          <w:lang w:val="en-US" w:eastAsia="zh-CN"/>
        </w:rPr>
      </w:pPr>
      <w:r>
        <w:rPr>
          <w:rFonts w:hint="eastAsia" w:ascii="宋体" w:hAnsi="宋体" w:cs="宋体"/>
          <w:sz w:val="24"/>
          <w:szCs w:val="24"/>
          <w:lang w:val="en-US" w:eastAsia="zh-CN"/>
        </w:rPr>
        <w:t>（5）中标人将合同内容转包、违法分包的；</w:t>
      </w:r>
    </w:p>
    <w:p w14:paraId="5D0D2AF6">
      <w:pPr>
        <w:keepNext w:val="0"/>
        <w:keepLines w:val="0"/>
        <w:pageBreakBefore w:val="0"/>
        <w:spacing w:line="460" w:lineRule="exact"/>
        <w:ind w:firstLine="562"/>
        <w:jc w:val="both"/>
        <w:rPr>
          <w:rFonts w:hint="eastAsia" w:ascii="宋体" w:hAnsi="宋体" w:cs="宋体"/>
          <w:sz w:val="24"/>
          <w:szCs w:val="24"/>
          <w:lang w:val="en-US" w:eastAsia="zh-CN"/>
        </w:rPr>
      </w:pPr>
      <w:r>
        <w:rPr>
          <w:rFonts w:hint="eastAsia" w:ascii="宋体" w:hAnsi="宋体" w:cs="宋体"/>
          <w:sz w:val="24"/>
          <w:szCs w:val="24"/>
          <w:lang w:val="en-US" w:eastAsia="zh-CN"/>
        </w:rPr>
        <w:t>（6）中标人故意捏造事实或伪造证明材料，进行虚假恶意投诉或反映的。</w:t>
      </w:r>
    </w:p>
    <w:p w14:paraId="0C334A03">
      <w:pPr>
        <w:keepNext w:val="0"/>
        <w:keepLines w:val="0"/>
        <w:pageBreakBefore w:val="0"/>
        <w:spacing w:line="460" w:lineRule="exact"/>
        <w:ind w:firstLine="562"/>
        <w:jc w:val="both"/>
        <w:rPr>
          <w:rFonts w:hint="eastAsia" w:ascii="宋体" w:hAnsi="宋体" w:cs="宋体"/>
          <w:sz w:val="24"/>
          <w:szCs w:val="24"/>
          <w:lang w:val="en-US" w:eastAsia="zh-CN"/>
        </w:rPr>
      </w:pPr>
      <w:r>
        <w:rPr>
          <w:rFonts w:hint="eastAsia" w:ascii="宋体" w:hAnsi="宋体" w:cs="宋体"/>
          <w:sz w:val="24"/>
          <w:szCs w:val="24"/>
          <w:lang w:val="en-US" w:eastAsia="zh-CN"/>
        </w:rPr>
        <w:t>13.4.5逾期退还的违约责任：采购人逾期无故未退还履约保证金的，按中国人民银行同期贷款基准利率支付超期资金占用费，但因供应商自身原因导致无法及时退还的除外。</w:t>
      </w:r>
    </w:p>
    <w:p w14:paraId="4D63B62B">
      <w:pPr>
        <w:keepNext w:val="0"/>
        <w:keepLines w:val="0"/>
        <w:pageBreakBefore w:val="0"/>
        <w:spacing w:line="460" w:lineRule="exact"/>
        <w:ind w:firstLine="562"/>
        <w:jc w:val="both"/>
        <w:rPr>
          <w:rFonts w:hint="eastAsia" w:ascii="宋体" w:hAnsi="宋体" w:eastAsia="宋体" w:cs="宋体"/>
          <w:b/>
          <w:sz w:val="24"/>
          <w:szCs w:val="24"/>
        </w:rPr>
      </w:pPr>
      <w:r>
        <w:rPr>
          <w:rFonts w:hint="eastAsia" w:ascii="宋体" w:hAnsi="宋体" w:eastAsia="宋体" w:cs="宋体"/>
          <w:b/>
          <w:sz w:val="24"/>
          <w:szCs w:val="24"/>
        </w:rPr>
        <w:t>十四、索赔</w:t>
      </w:r>
    </w:p>
    <w:p w14:paraId="1CCAFC9F">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1、乙方可按以下规定向甲方索赔：</w:t>
      </w:r>
    </w:p>
    <w:p w14:paraId="7F05AAA5">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（1）有正当索赔理由，且有索赔事件发生时的有关证据；</w:t>
      </w:r>
    </w:p>
    <w:p w14:paraId="7B241DCA">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（2）索赔事件发生后20天内，向甲方发出要求索赔的通知，超出20天，作自动放弃索赔处理；</w:t>
      </w:r>
    </w:p>
    <w:p w14:paraId="300A8ED8">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（3）甲方在接到索赔通知后10天内给予响应，或要求乙方进一步补充索赔理由和证据，甲方在10天内未予答复，应视为该项索赔已经认可。</w:t>
      </w:r>
    </w:p>
    <w:p w14:paraId="022F9FEB">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2、甲方可按以下规定向乙方索赔：</w:t>
      </w:r>
    </w:p>
    <w:p w14:paraId="2F820036">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（1）有正当索赔理由，且有索赔事件发生时的有关证据；</w:t>
      </w:r>
    </w:p>
    <w:p w14:paraId="7A31B5B0">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（2）索赔事件发生后20天内，向乙方发出要求索赔的通知；</w:t>
      </w:r>
    </w:p>
    <w:p w14:paraId="26A99837">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（3）乙方在接到索赔通知后10天内给予响应，或要求甲方进一步补充索赔理由或证据，乙方在10天内未予答复，应视为该项索赔已经认可。</w:t>
      </w:r>
    </w:p>
    <w:p w14:paraId="0B87BF79">
      <w:pPr>
        <w:keepNext w:val="0"/>
        <w:keepLines w:val="0"/>
        <w:pageBreakBefore w:val="0"/>
        <w:spacing w:line="460" w:lineRule="exact"/>
        <w:ind w:firstLine="562"/>
        <w:jc w:val="both"/>
        <w:rPr>
          <w:rFonts w:hint="eastAsia" w:ascii="宋体" w:hAnsi="宋体" w:eastAsia="宋体" w:cs="宋体"/>
          <w:b/>
          <w:sz w:val="24"/>
          <w:szCs w:val="24"/>
        </w:rPr>
      </w:pPr>
      <w:r>
        <w:rPr>
          <w:rFonts w:hint="eastAsia" w:ascii="宋体" w:hAnsi="宋体" w:eastAsia="宋体" w:cs="宋体"/>
          <w:b/>
          <w:sz w:val="24"/>
          <w:szCs w:val="24"/>
        </w:rPr>
        <w:t>十五、知识产权：</w:t>
      </w:r>
    </w:p>
    <w:p w14:paraId="0C4DCE43">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乙方应保障甲方免于承担乙方所用的任何技术、软件、设备、文章及音像作品等方面因侵犯专利权等知识产权引起的一切索赔和诉讼，保障甲方免于承担由此导致或与此有关的一切损害赔偿费、诉讼费和其它有关费用。</w:t>
      </w:r>
    </w:p>
    <w:p w14:paraId="40642B77">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乙方应对在投标中和合同执行过程中向甲方提交的文件资料进行保密，应保障文件资料中涉及甲方自身拥有的专利的知识产权不因乙方自己的疏漏而遭损害。若由于乙方的责任或其工作人员的不正当行为造成对甲方知识产权的侵害，甲方有权要求乙方赔偿损失和承担相应的侵权责任。</w:t>
      </w:r>
    </w:p>
    <w:p w14:paraId="01CF9A56">
      <w:pPr>
        <w:keepNext w:val="0"/>
        <w:keepLines w:val="0"/>
        <w:pageBreakBefore w:val="0"/>
        <w:spacing w:line="460" w:lineRule="exact"/>
        <w:ind w:firstLine="562"/>
        <w:jc w:val="both"/>
        <w:rPr>
          <w:rFonts w:hint="eastAsia" w:ascii="宋体" w:hAnsi="宋体" w:eastAsia="宋体" w:cs="宋体"/>
          <w:sz w:val="24"/>
          <w:szCs w:val="24"/>
        </w:rPr>
      </w:pPr>
      <w:r>
        <w:rPr>
          <w:rFonts w:hint="eastAsia" w:ascii="宋体" w:hAnsi="宋体" w:eastAsia="宋体" w:cs="宋体"/>
          <w:b/>
          <w:sz w:val="24"/>
          <w:szCs w:val="24"/>
        </w:rPr>
        <w:t>十六、产权担保：</w:t>
      </w:r>
      <w:r>
        <w:rPr>
          <w:rFonts w:hint="eastAsia" w:ascii="宋体" w:hAnsi="宋体" w:eastAsia="宋体" w:cs="宋体"/>
          <w:sz w:val="24"/>
          <w:szCs w:val="24"/>
        </w:rPr>
        <w:t>乙方保证所交付的服务的所有权完全属于乙方且无任何抵押、查封等产权瑕疵。</w:t>
      </w:r>
    </w:p>
    <w:p w14:paraId="2F3E61D3">
      <w:pPr>
        <w:keepNext w:val="0"/>
        <w:keepLines w:val="0"/>
        <w:pageBreakBefore w:val="0"/>
        <w:spacing w:line="460" w:lineRule="exact"/>
        <w:ind w:firstLine="562"/>
        <w:jc w:val="both"/>
        <w:rPr>
          <w:rFonts w:hint="eastAsia" w:ascii="宋体" w:hAnsi="宋体" w:eastAsia="宋体" w:cs="宋体"/>
          <w:b/>
          <w:sz w:val="24"/>
          <w:szCs w:val="24"/>
        </w:rPr>
      </w:pPr>
      <w:r>
        <w:rPr>
          <w:rFonts w:hint="eastAsia" w:ascii="宋体" w:hAnsi="宋体" w:eastAsia="宋体" w:cs="宋体"/>
          <w:b/>
          <w:sz w:val="24"/>
          <w:szCs w:val="24"/>
        </w:rPr>
        <w:t>十七、违约责任：</w:t>
      </w:r>
    </w:p>
    <w:p w14:paraId="33696BC2">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按照标书的规定和国家的有关规定处理。</w:t>
      </w:r>
    </w:p>
    <w:p w14:paraId="05EDD2A5">
      <w:pPr>
        <w:keepNext w:val="0"/>
        <w:keepLines w:val="0"/>
        <w:pageBreakBefore w:val="0"/>
        <w:spacing w:line="460" w:lineRule="exact"/>
        <w:ind w:firstLine="562"/>
        <w:jc w:val="both"/>
        <w:rPr>
          <w:rFonts w:hint="eastAsia" w:ascii="宋体" w:hAnsi="宋体" w:eastAsia="宋体" w:cs="宋体"/>
          <w:b/>
          <w:sz w:val="24"/>
          <w:szCs w:val="24"/>
        </w:rPr>
      </w:pPr>
      <w:r>
        <w:rPr>
          <w:rFonts w:hint="eastAsia" w:ascii="宋体" w:hAnsi="宋体" w:eastAsia="宋体" w:cs="宋体"/>
          <w:b/>
          <w:sz w:val="24"/>
          <w:szCs w:val="24"/>
        </w:rPr>
        <w:t>十八、不可抗力事件处理</w:t>
      </w:r>
    </w:p>
    <w:p w14:paraId="6C27EC86">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18.1如果甲、乙双方因不可抗力而导致合同实施延误或不能履行合同义务，在不可抗力影响的范围内不应该被没收合同履约及维护保证金或已支付的款项，也不应该承担误期赔偿或延期付款赔偿或终止合同的责任。</w:t>
      </w:r>
    </w:p>
    <w:p w14:paraId="3C08D84E">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18.2本条所述的“不可抗力”系指那些双方不能预见、不能克服并无法避免的事件，但不包括任何一方的违约或疏忽。不可预见的事件包括战争、严重火灾、洪水、台风、地震及其他双方同意的情况。</w:t>
      </w:r>
    </w:p>
    <w:p w14:paraId="06851DA9">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18.3在不可抗力事件发生后，受损方应尽快以书面形式将不可抗力的情况和原因通知对方，除对方书面另行要求外，受损方应尽实际可能继续履行合同义务，以及寻求采取合理的方案履行因受不可抗力影响的其他事项。如果不可抗力事件影响延续超过规定的项目完成日期，双方应通过友好协商在合理的时间内就进一步实施合同达成协议。</w:t>
      </w:r>
    </w:p>
    <w:p w14:paraId="4E960010">
      <w:pPr>
        <w:keepNext w:val="0"/>
        <w:keepLines w:val="0"/>
        <w:pageBreakBefore w:val="0"/>
        <w:spacing w:line="460" w:lineRule="exact"/>
        <w:ind w:firstLine="562"/>
        <w:jc w:val="both"/>
        <w:rPr>
          <w:rFonts w:hint="eastAsia" w:ascii="宋体" w:hAnsi="宋体" w:eastAsia="宋体" w:cs="宋体"/>
          <w:sz w:val="24"/>
          <w:szCs w:val="24"/>
        </w:rPr>
      </w:pPr>
      <w:r>
        <w:rPr>
          <w:rFonts w:hint="eastAsia" w:ascii="宋体" w:hAnsi="宋体" w:eastAsia="宋体" w:cs="宋体"/>
          <w:b/>
          <w:sz w:val="24"/>
          <w:szCs w:val="24"/>
        </w:rPr>
        <w:t>十九、争议的解决：</w:t>
      </w:r>
      <w:r>
        <w:rPr>
          <w:rFonts w:hint="eastAsia" w:ascii="宋体" w:hAnsi="宋体" w:eastAsia="宋体" w:cs="宋体"/>
          <w:sz w:val="24"/>
          <w:szCs w:val="24"/>
        </w:rPr>
        <w:t>本合同在履行过程中发生争议，由当事人双方协商解决，协商不成，双方同意将争议提交甲方所在地有管辖权的人民法院解决。</w:t>
      </w:r>
    </w:p>
    <w:p w14:paraId="48DF5480">
      <w:pPr>
        <w:keepNext w:val="0"/>
        <w:keepLines w:val="0"/>
        <w:pageBreakBefore w:val="0"/>
        <w:spacing w:line="460" w:lineRule="exact"/>
        <w:ind w:firstLine="562"/>
        <w:jc w:val="both"/>
        <w:rPr>
          <w:rFonts w:hint="eastAsia" w:ascii="宋体" w:hAnsi="宋体" w:eastAsia="宋体" w:cs="宋体"/>
          <w:b/>
          <w:sz w:val="24"/>
          <w:szCs w:val="24"/>
        </w:rPr>
      </w:pPr>
      <w:r>
        <w:rPr>
          <w:rFonts w:hint="eastAsia" w:ascii="宋体" w:hAnsi="宋体" w:eastAsia="宋体" w:cs="宋体"/>
          <w:b/>
          <w:sz w:val="24"/>
          <w:szCs w:val="24"/>
        </w:rPr>
        <w:t>二十、其他</w:t>
      </w:r>
    </w:p>
    <w:p w14:paraId="085D1CAD">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20.1合同双方可以就本合同主要内容以外的事项进行协商。</w:t>
      </w:r>
    </w:p>
    <w:p w14:paraId="31D1A961">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20.2 本合同自双方签字盖章之日起生效。合同生效后如需变更合同条款，须经双方协商同意。</w:t>
      </w:r>
    </w:p>
    <w:p w14:paraId="7F4F4837">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20.3 本合同任何条款不能认定为任何一方提供的格式条款。</w:t>
      </w:r>
    </w:p>
    <w:p w14:paraId="6B133225">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20.4本合同若有未尽事宜，双方可协商解决。</w:t>
      </w:r>
    </w:p>
    <w:p w14:paraId="0E24D876">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20.5本合同一式捌份，甲、乙双方各执叁份，财政监管部门执贰份。</w:t>
      </w:r>
    </w:p>
    <w:p w14:paraId="5B83112A">
      <w:pPr>
        <w:keepNext w:val="0"/>
        <w:keepLines w:val="0"/>
        <w:pageBreakBefore w:val="0"/>
        <w:spacing w:line="460" w:lineRule="exact"/>
        <w:ind w:firstLine="560"/>
        <w:jc w:val="both"/>
        <w:rPr>
          <w:rFonts w:hint="eastAsia"/>
          <w:color w:val="auto"/>
          <w:highlight w:val="none"/>
        </w:rPr>
      </w:pPr>
      <w:r>
        <w:rPr>
          <w:rFonts w:hint="eastAsia" w:ascii="宋体" w:hAnsi="宋体" w:eastAsia="宋体" w:cs="宋体"/>
          <w:sz w:val="24"/>
          <w:szCs w:val="24"/>
        </w:rPr>
        <w:t>20.6本合同未注明事项</w:t>
      </w:r>
      <w:r>
        <w:rPr>
          <w:rFonts w:hint="eastAsia" w:ascii="宋体" w:hAnsi="宋体" w:eastAsia="宋体" w:cs="宋体"/>
          <w:sz w:val="24"/>
          <w:szCs w:val="24"/>
          <w:lang w:eastAsia="zh-CN"/>
        </w:rPr>
        <w:t>招标文件</w:t>
      </w:r>
      <w:r>
        <w:rPr>
          <w:rFonts w:hint="eastAsia" w:ascii="宋体" w:hAnsi="宋体" w:eastAsia="宋体" w:cs="宋体"/>
          <w:sz w:val="24"/>
          <w:szCs w:val="24"/>
        </w:rPr>
        <w:t>文件中有规定的，按</w:t>
      </w:r>
      <w:r>
        <w:rPr>
          <w:rFonts w:hint="eastAsia" w:ascii="宋体" w:hAnsi="宋体" w:eastAsia="宋体" w:cs="宋体"/>
          <w:sz w:val="24"/>
          <w:szCs w:val="24"/>
          <w:lang w:eastAsia="zh-CN"/>
        </w:rPr>
        <w:t>招标文件</w:t>
      </w:r>
      <w:r>
        <w:rPr>
          <w:rFonts w:hint="eastAsia" w:ascii="宋体" w:hAnsi="宋体" w:eastAsia="宋体" w:cs="宋体"/>
          <w:sz w:val="24"/>
          <w:szCs w:val="24"/>
        </w:rPr>
        <w:t>文件中的规定处理，没有规定的，按照国家有关规定处理。</w:t>
      </w:r>
    </w:p>
    <w:p w14:paraId="32724109">
      <w:pPr>
        <w:keepNext w:val="0"/>
        <w:keepLines w:val="0"/>
        <w:pageBreakBefore w:val="0"/>
        <w:spacing w:line="460" w:lineRule="exact"/>
        <w:ind w:firstLine="560"/>
        <w:jc w:val="both"/>
        <w:rPr>
          <w:rFonts w:hint="eastAsia" w:ascii="宋体" w:hAnsi="宋体" w:eastAsia="宋体" w:cs="宋体"/>
          <w:sz w:val="24"/>
          <w:szCs w:val="24"/>
        </w:rPr>
      </w:pPr>
    </w:p>
    <w:p w14:paraId="187818FF">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甲方（公章）：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乙方（公章）： </w:t>
      </w:r>
    </w:p>
    <w:p w14:paraId="54EB00EF">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法定代表人或授权代</w:t>
      </w:r>
      <w:r>
        <w:rPr>
          <w:rFonts w:hint="eastAsia" w:ascii="宋体" w:hAnsi="宋体" w:eastAsia="宋体" w:cs="宋体"/>
          <w:sz w:val="24"/>
          <w:szCs w:val="24"/>
          <w:lang w:val="en-US" w:eastAsia="zh-CN"/>
        </w:rPr>
        <w:t>理人（签字）</w:t>
      </w:r>
      <w:r>
        <w:rPr>
          <w:rFonts w:hint="eastAsia" w:ascii="宋体" w:hAnsi="宋体" w:eastAsia="宋体" w:cs="宋体"/>
          <w:sz w:val="24"/>
          <w:szCs w:val="24"/>
        </w:rPr>
        <w:t>：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法定代表人或授权代</w:t>
      </w:r>
      <w:r>
        <w:rPr>
          <w:rFonts w:hint="eastAsia" w:ascii="宋体" w:hAnsi="宋体" w:eastAsia="宋体" w:cs="宋体"/>
          <w:sz w:val="24"/>
          <w:szCs w:val="24"/>
          <w:lang w:val="en-US" w:eastAsia="zh-CN"/>
        </w:rPr>
        <w:t>理人（签字）</w:t>
      </w:r>
      <w:r>
        <w:rPr>
          <w:rFonts w:hint="eastAsia" w:ascii="宋体" w:hAnsi="宋体" w:eastAsia="宋体" w:cs="宋体"/>
          <w:sz w:val="24"/>
          <w:szCs w:val="24"/>
        </w:rPr>
        <w:t>：</w:t>
      </w:r>
    </w:p>
    <w:p w14:paraId="2F59E9D7">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联系电话：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联系电话： </w:t>
      </w:r>
    </w:p>
    <w:p w14:paraId="7D41B112">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地址： </w:t>
      </w:r>
    </w:p>
    <w:p w14:paraId="286FCBE0">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 xml:space="preserve">开户银行：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开户银行：</w:t>
      </w:r>
    </w:p>
    <w:p w14:paraId="095E0980">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 xml:space="preserve">帐    号：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帐    号：</w:t>
      </w:r>
    </w:p>
    <w:p w14:paraId="7B90358E">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签订日期：   年  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签订日期：  年 月 日</w:t>
      </w:r>
    </w:p>
    <w:p w14:paraId="23FDF3A9">
      <w:pPr>
        <w:numPr>
          <w:ilvl w:val="0"/>
          <w:numId w:val="4"/>
        </w:numPr>
        <w:spacing w:before="120" w:after="120" w:line="0" w:lineRule="atLeast"/>
        <w:jc w:val="center"/>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br w:type="page" w:clear="all"/>
      </w:r>
      <w:bookmarkEnd w:id="169"/>
      <w:r>
        <w:rPr>
          <w:rFonts w:hint="eastAsia" w:ascii="黑体" w:hAnsi="Courier New" w:eastAsia="黑体" w:cs="Courier New"/>
          <w:bCs/>
          <w:color w:val="auto"/>
          <w:sz w:val="44"/>
          <w:szCs w:val="21"/>
          <w:highlight w:val="none"/>
        </w:rPr>
        <w:t>采购需求</w:t>
      </w:r>
      <w:bookmarkEnd w:id="170"/>
      <w:bookmarkEnd w:id="171"/>
      <w:bookmarkEnd w:id="172"/>
    </w:p>
    <w:p w14:paraId="3AD5C2D3">
      <w:pPr>
        <w:spacing w:line="360" w:lineRule="auto"/>
        <w:ind w:firstLine="482"/>
        <w:jc w:val="left"/>
        <w:rPr>
          <w:rFonts w:hint="eastAsia" w:ascii="宋体" w:hAnsi="宋体" w:eastAsia="宋体" w:cs="宋体"/>
          <w:b/>
          <w:bCs/>
          <w:color w:val="auto"/>
          <w:sz w:val="24"/>
          <w:szCs w:val="24"/>
          <w:highlight w:val="none"/>
        </w:rPr>
      </w:pPr>
    </w:p>
    <w:p w14:paraId="39211FCB">
      <w:pPr>
        <w:pStyle w:val="45"/>
        <w:spacing w:beforeAutospacing="0" w:afterAutospacing="0" w:line="360" w:lineRule="auto"/>
        <w:ind w:firstLine="482" w:firstLineChars="200"/>
        <w:jc w:val="both"/>
        <w:rPr>
          <w:b/>
          <w:bCs/>
        </w:rPr>
      </w:pPr>
      <w:bookmarkStart w:id="176" w:name="_Toc26554093"/>
      <w:bookmarkStart w:id="177" w:name="_Toc49090575"/>
      <w:r>
        <w:rPr>
          <w:rFonts w:hint="eastAsia" w:ascii="宋体" w:hAnsi="宋体" w:eastAsia="宋体" w:cs="宋体"/>
          <w:b/>
          <w:bCs/>
          <w:color w:val="000000"/>
        </w:rPr>
        <w:t>项目属性:服务类项目</w:t>
      </w:r>
      <w:bookmarkEnd w:id="176"/>
      <w:bookmarkEnd w:id="177"/>
    </w:p>
    <w:p w14:paraId="319CCD85">
      <w:pPr>
        <w:spacing w:line="360" w:lineRule="auto"/>
        <w:ind w:firstLine="482" w:firstLineChars="200"/>
        <w:jc w:val="left"/>
        <w:rPr>
          <w:rFonts w:hint="eastAsia" w:ascii="宋体" w:hAnsi="宋体" w:cs="宋体"/>
          <w:b/>
          <w:sz w:val="24"/>
        </w:rPr>
      </w:pPr>
      <w:r>
        <w:rPr>
          <w:rFonts w:hint="eastAsia" w:ascii="宋体" w:hAnsi="宋体" w:cs="宋体"/>
          <w:b/>
          <w:sz w:val="24"/>
        </w:rPr>
        <w:t>一、项目基本情况</w:t>
      </w:r>
    </w:p>
    <w:p w14:paraId="20B283B1">
      <w:pPr>
        <w:pStyle w:val="45"/>
        <w:widowControl/>
        <w:shd w:val="clear" w:color="auto" w:fill="FFFFFF"/>
        <w:spacing w:beforeAutospacing="0" w:afterAutospacing="0" w:line="360" w:lineRule="auto"/>
        <w:ind w:firstLine="560"/>
        <w:jc w:val="both"/>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1.项目编号：</w:t>
      </w:r>
      <w:r>
        <w:rPr>
          <w:rFonts w:hint="eastAsia" w:cs="宋体"/>
          <w:color w:val="333333"/>
          <w:shd w:val="clear" w:color="auto" w:fill="FFFFFF"/>
          <w:lang w:eastAsia="zh-CN"/>
        </w:rPr>
        <w:t>JSZC-320923-SNST-G2025-0002</w:t>
      </w:r>
    </w:p>
    <w:p w14:paraId="33B6C232">
      <w:pPr>
        <w:pStyle w:val="45"/>
        <w:widowControl/>
        <w:shd w:val="clear" w:color="auto" w:fill="FFFFFF"/>
        <w:spacing w:beforeAutospacing="0" w:afterAutospacing="0" w:line="360" w:lineRule="auto"/>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2.项目名称：阜宁县沟墩中心卫生院CT维保项目</w:t>
      </w:r>
      <w:r>
        <w:rPr>
          <w:rFonts w:hint="eastAsia" w:ascii="宋体" w:hAnsi="宋体" w:eastAsia="宋体" w:cs="宋体"/>
          <w:color w:val="333333"/>
          <w:shd w:val="clear" w:color="auto" w:fill="FFFFFF"/>
        </w:rPr>
        <w:tab/>
      </w:r>
    </w:p>
    <w:p w14:paraId="6BE02781">
      <w:pPr>
        <w:pStyle w:val="45"/>
        <w:widowControl/>
        <w:shd w:val="clear" w:color="auto" w:fill="FFFFFF"/>
        <w:spacing w:beforeAutospacing="0" w:afterAutospacing="0" w:line="360" w:lineRule="auto"/>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3.采购方式：公开招标</w:t>
      </w:r>
    </w:p>
    <w:p w14:paraId="69F5C939">
      <w:pPr>
        <w:pStyle w:val="45"/>
        <w:widowControl/>
        <w:shd w:val="clear" w:color="auto" w:fill="FFFFFF"/>
        <w:spacing w:beforeAutospacing="0" w:afterAutospacing="0" w:line="360" w:lineRule="auto"/>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4.预算金额：120万元</w:t>
      </w:r>
    </w:p>
    <w:p w14:paraId="3813172C">
      <w:pPr>
        <w:pStyle w:val="45"/>
        <w:widowControl/>
        <w:shd w:val="clear" w:color="auto" w:fill="FFFFFF"/>
        <w:spacing w:beforeAutospacing="0" w:afterAutospacing="0" w:line="360" w:lineRule="auto"/>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5.最高限价：120万元</w:t>
      </w:r>
    </w:p>
    <w:p w14:paraId="433529FF">
      <w:pPr>
        <w:pStyle w:val="45"/>
        <w:widowControl/>
        <w:shd w:val="clear" w:color="auto" w:fill="FFFFFF"/>
        <w:spacing w:beforeAutospacing="0" w:afterAutospacing="0" w:line="360" w:lineRule="auto"/>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6.采购需求：阜宁县沟墩中心卫生院CT维保项目，主要对东软CT设备进行系统的、全面的检测、维护及保养，以保证设备的高效、正常运作。</w:t>
      </w:r>
    </w:p>
    <w:p w14:paraId="4EA3996C">
      <w:pPr>
        <w:pStyle w:val="45"/>
        <w:widowControl/>
        <w:shd w:val="clear" w:color="auto" w:fill="FFFFFF"/>
        <w:spacing w:beforeAutospacing="0" w:afterAutospacing="0" w:line="360" w:lineRule="auto"/>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7.合同履行期限：五年（注：合同履行期内如甲方更换新设备，则维保服务自动终止，维保费用按实际服务时间计算）。</w:t>
      </w:r>
    </w:p>
    <w:p w14:paraId="6329A875">
      <w:pPr>
        <w:pStyle w:val="45"/>
        <w:widowControl/>
        <w:shd w:val="clear" w:color="auto" w:fill="FFFFFF"/>
        <w:spacing w:beforeAutospacing="0" w:afterAutospacing="0" w:line="360" w:lineRule="auto"/>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8.服务地点：阜宁县沟墩中心卫生院。</w:t>
      </w:r>
    </w:p>
    <w:p w14:paraId="46C3475F">
      <w:pPr>
        <w:pStyle w:val="45"/>
        <w:widowControl/>
        <w:shd w:val="clear" w:color="auto" w:fill="FFFFFF"/>
        <w:spacing w:beforeAutospacing="0" w:afterAutospacing="0" w:line="360" w:lineRule="auto"/>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9.服务质量：合格标准，符合相关国家标准及招标文件的要求。</w:t>
      </w:r>
    </w:p>
    <w:p w14:paraId="346F2D04">
      <w:pPr>
        <w:pStyle w:val="45"/>
        <w:widowControl/>
        <w:shd w:val="clear" w:color="auto" w:fill="FFFFFF"/>
        <w:spacing w:beforeAutospacing="0" w:afterAutospacing="0" w:line="360" w:lineRule="auto"/>
        <w:ind w:firstLine="560"/>
        <w:jc w:val="both"/>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rPr>
        <w:t>10.本项目（是/否）接受联合体：否。</w:t>
      </w:r>
    </w:p>
    <w:p w14:paraId="782DFA37">
      <w:pPr>
        <w:spacing w:line="400" w:lineRule="exact"/>
        <w:rPr>
          <w:rFonts w:ascii="宋体" w:hAnsi="宋体"/>
          <w:b/>
          <w:bCs/>
          <w:sz w:val="24"/>
        </w:rPr>
      </w:pPr>
      <w:r>
        <w:rPr>
          <w:rFonts w:hint="eastAsia" w:ascii="宋体" w:hAnsi="宋体"/>
          <w:b/>
          <w:bCs/>
          <w:sz w:val="24"/>
        </w:rPr>
        <w:t>二</w:t>
      </w:r>
      <w:r>
        <w:rPr>
          <w:rFonts w:ascii="宋体" w:hAnsi="宋体"/>
          <w:b/>
          <w:bCs/>
          <w:sz w:val="24"/>
        </w:rPr>
        <w:t>、</w:t>
      </w:r>
      <w:r>
        <w:rPr>
          <w:rFonts w:hint="eastAsia" w:ascii="Tahoma" w:hAnsi="Tahoma"/>
          <w:b/>
          <w:color w:val="auto"/>
          <w:sz w:val="24"/>
          <w:szCs w:val="20"/>
          <w:highlight w:val="none"/>
          <w:lang w:val="en-US" w:eastAsia="zh-CN"/>
        </w:rPr>
        <w:t>维保</w:t>
      </w:r>
      <w:r>
        <w:rPr>
          <w:rFonts w:hint="eastAsia" w:ascii="Tahoma" w:hAnsi="Tahoma"/>
          <w:b/>
          <w:color w:val="auto"/>
          <w:sz w:val="24"/>
          <w:szCs w:val="20"/>
          <w:highlight w:val="none"/>
        </w:rPr>
        <w:t>清单及技术服务要求</w:t>
      </w:r>
    </w:p>
    <w:tbl>
      <w:tblPr>
        <w:tblStyle w:val="52"/>
        <w:tblW w:w="9535" w:type="dxa"/>
        <w:tblInd w:w="-13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32"/>
        <w:gridCol w:w="4102"/>
        <w:gridCol w:w="1847"/>
        <w:gridCol w:w="2754"/>
      </w:tblGrid>
      <w:tr w14:paraId="783C03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83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6D8DA05">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微软雅黑" w:hAnsi="微软雅黑" w:eastAsia="微软雅黑" w:cs="微软雅黑"/>
                <w:color w:val="auto"/>
                <w:highlight w:val="none"/>
              </w:rPr>
            </w:pPr>
            <w:r>
              <w:rPr>
                <w:rFonts w:hint="default" w:ascii="Arial" w:hAnsi="Arial" w:eastAsia="微软雅黑" w:cs="Arial"/>
                <w:color w:val="auto"/>
                <w:kern w:val="0"/>
                <w:sz w:val="21"/>
                <w:szCs w:val="21"/>
                <w:highlight w:val="none"/>
              </w:rPr>
              <w:t>序号</w:t>
            </w:r>
          </w:p>
        </w:tc>
        <w:tc>
          <w:tcPr>
            <w:tcW w:w="410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7D4254">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微软雅黑" w:hAnsi="微软雅黑" w:eastAsia="微软雅黑" w:cs="微软雅黑"/>
                <w:color w:val="auto"/>
                <w:highlight w:val="none"/>
              </w:rPr>
            </w:pPr>
            <w:r>
              <w:rPr>
                <w:rFonts w:hint="eastAsia" w:ascii="微软雅黑" w:hAnsi="微软雅黑" w:eastAsia="微软雅黑" w:cs="微软雅黑"/>
                <w:color w:val="auto"/>
                <w:sz w:val="24"/>
                <w:highlight w:val="none"/>
              </w:rPr>
              <w:t>设备名称</w:t>
            </w:r>
          </w:p>
        </w:tc>
        <w:tc>
          <w:tcPr>
            <w:tcW w:w="18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C91D0C7">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微软雅黑" w:hAnsi="微软雅黑" w:eastAsia="微软雅黑" w:cs="微软雅黑"/>
                <w:color w:val="auto"/>
                <w:highlight w:val="none"/>
              </w:rPr>
            </w:pPr>
            <w:r>
              <w:rPr>
                <w:rFonts w:hint="eastAsia" w:ascii="微软雅黑" w:hAnsi="微软雅黑" w:eastAsia="微软雅黑" w:cs="微软雅黑"/>
                <w:color w:val="auto"/>
                <w:sz w:val="24"/>
                <w:highlight w:val="none"/>
              </w:rPr>
              <w:t>数量（</w:t>
            </w:r>
            <w:r>
              <w:rPr>
                <w:rFonts w:hint="eastAsia" w:ascii="微软雅黑" w:hAnsi="微软雅黑" w:eastAsia="微软雅黑" w:cs="微软雅黑"/>
                <w:color w:val="auto"/>
                <w:sz w:val="24"/>
                <w:highlight w:val="none"/>
                <w:lang w:val="en-US" w:eastAsia="zh-CN"/>
              </w:rPr>
              <w:t>台</w:t>
            </w:r>
            <w:r>
              <w:rPr>
                <w:rFonts w:hint="eastAsia" w:ascii="微软雅黑" w:hAnsi="微软雅黑" w:eastAsia="微软雅黑" w:cs="微软雅黑"/>
                <w:color w:val="auto"/>
                <w:sz w:val="24"/>
                <w:highlight w:val="none"/>
              </w:rPr>
              <w:t>）</w:t>
            </w:r>
          </w:p>
        </w:tc>
        <w:tc>
          <w:tcPr>
            <w:tcW w:w="275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CB8B91">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微软雅黑" w:hAnsi="微软雅黑" w:eastAsia="微软雅黑" w:cs="微软雅黑"/>
                <w:color w:val="auto"/>
                <w:highlight w:val="none"/>
                <w:lang w:eastAsia="zh-CN"/>
              </w:rPr>
            </w:pPr>
            <w:r>
              <w:rPr>
                <w:rFonts w:hint="eastAsia" w:ascii="微软雅黑" w:hAnsi="微软雅黑" w:eastAsia="微软雅黑" w:cs="微软雅黑"/>
                <w:color w:val="auto"/>
                <w:sz w:val="24"/>
                <w:highlight w:val="none"/>
                <w:lang w:val="en-US" w:eastAsia="zh-CN"/>
              </w:rPr>
              <w:t>维保</w:t>
            </w:r>
            <w:r>
              <w:rPr>
                <w:rFonts w:hint="eastAsia" w:ascii="微软雅黑" w:hAnsi="微软雅黑" w:eastAsia="微软雅黑" w:cs="微软雅黑"/>
                <w:color w:val="auto"/>
                <w:sz w:val="24"/>
                <w:highlight w:val="none"/>
              </w:rPr>
              <w:t>期</w:t>
            </w:r>
            <w:r>
              <w:rPr>
                <w:rFonts w:hint="eastAsia" w:ascii="微软雅黑" w:hAnsi="微软雅黑" w:eastAsia="微软雅黑" w:cs="微软雅黑"/>
                <w:color w:val="auto"/>
                <w:sz w:val="24"/>
                <w:highlight w:val="none"/>
                <w:lang w:eastAsia="zh-CN"/>
              </w:rPr>
              <w:t>（</w:t>
            </w:r>
            <w:r>
              <w:rPr>
                <w:rFonts w:hint="eastAsia" w:ascii="微软雅黑" w:hAnsi="微软雅黑" w:eastAsia="微软雅黑" w:cs="微软雅黑"/>
                <w:color w:val="auto"/>
                <w:sz w:val="24"/>
                <w:highlight w:val="none"/>
                <w:lang w:val="en-US" w:eastAsia="zh-CN"/>
              </w:rPr>
              <w:t>全保</w:t>
            </w:r>
            <w:r>
              <w:rPr>
                <w:rFonts w:hint="eastAsia" w:ascii="微软雅黑" w:hAnsi="微软雅黑" w:eastAsia="微软雅黑" w:cs="微软雅黑"/>
                <w:color w:val="auto"/>
                <w:sz w:val="24"/>
                <w:highlight w:val="none"/>
                <w:lang w:eastAsia="zh-CN"/>
              </w:rPr>
              <w:t>）</w:t>
            </w:r>
          </w:p>
        </w:tc>
      </w:tr>
      <w:tr w14:paraId="3F6F925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5" w:hRule="atLeast"/>
        </w:trPr>
        <w:tc>
          <w:tcPr>
            <w:tcW w:w="8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5149CD">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微软雅黑" w:hAnsi="微软雅黑" w:eastAsia="微软雅黑" w:cs="微软雅黑"/>
                <w:color w:val="auto"/>
                <w:highlight w:val="none"/>
              </w:rPr>
            </w:pPr>
            <w:r>
              <w:rPr>
                <w:rFonts w:hint="eastAsia" w:ascii="微软雅黑" w:hAnsi="微软雅黑" w:eastAsia="微软雅黑" w:cs="微软雅黑"/>
                <w:color w:val="auto"/>
                <w:sz w:val="24"/>
                <w:highlight w:val="none"/>
              </w:rPr>
              <w:t>1</w:t>
            </w:r>
          </w:p>
        </w:tc>
        <w:tc>
          <w:tcPr>
            <w:tcW w:w="41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14074C3">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微软雅黑" w:hAnsi="微软雅黑" w:eastAsia="微软雅黑" w:cs="微软雅黑"/>
                <w:color w:val="auto"/>
                <w:highlight w:val="none"/>
              </w:rPr>
            </w:pPr>
            <w:r>
              <w:rPr>
                <w:rFonts w:hint="eastAsia" w:ascii="微软雅黑" w:hAnsi="微软雅黑" w:eastAsia="微软雅黑" w:cs="微软雅黑"/>
                <w:color w:val="auto"/>
                <w:sz w:val="24"/>
                <w:highlight w:val="none"/>
                <w:lang w:val="en-US" w:eastAsia="zh-CN"/>
              </w:rPr>
              <w:t>东软CT 设备</w:t>
            </w:r>
          </w:p>
        </w:tc>
        <w:tc>
          <w:tcPr>
            <w:tcW w:w="18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8CE48C">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微软雅黑" w:hAnsi="微软雅黑" w:eastAsia="微软雅黑" w:cs="微软雅黑"/>
                <w:color w:val="auto"/>
                <w:highlight w:val="none"/>
                <w:lang w:val="en-US"/>
              </w:rPr>
            </w:pPr>
            <w:r>
              <w:rPr>
                <w:rFonts w:hint="eastAsia" w:ascii="微软雅黑" w:hAnsi="微软雅黑" w:eastAsia="微软雅黑" w:cs="微软雅黑"/>
                <w:color w:val="auto"/>
                <w:sz w:val="24"/>
                <w:highlight w:val="none"/>
                <w:lang w:val="en-US" w:eastAsia="zh-CN"/>
              </w:rPr>
              <w:t>1</w:t>
            </w:r>
          </w:p>
        </w:tc>
        <w:tc>
          <w:tcPr>
            <w:tcW w:w="27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2274B6F">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微软雅黑" w:hAnsi="微软雅黑" w:eastAsia="微软雅黑" w:cs="微软雅黑"/>
                <w:color w:val="auto"/>
                <w:sz w:val="24"/>
                <w:highlight w:val="none"/>
                <w:lang w:val="en-US" w:eastAsia="zh-CN"/>
              </w:rPr>
            </w:pPr>
            <w:r>
              <w:rPr>
                <w:rFonts w:hint="eastAsia" w:ascii="微软雅黑" w:hAnsi="微软雅黑" w:eastAsia="微软雅黑" w:cs="微软雅黑"/>
                <w:color w:val="auto"/>
                <w:sz w:val="24"/>
                <w:highlight w:val="none"/>
                <w:lang w:val="en-US" w:eastAsia="zh-CN"/>
              </w:rPr>
              <w:t>5年</w:t>
            </w:r>
          </w:p>
        </w:tc>
      </w:tr>
    </w:tbl>
    <w:p w14:paraId="2951DE0F">
      <w:pPr>
        <w:spacing w:line="420" w:lineRule="exact"/>
        <w:ind w:left="-1" w:firstLine="480" w:firstLineChars="200"/>
        <w:jc w:val="left"/>
        <w:rPr>
          <w:rFonts w:hint="eastAsia" w:ascii="微软雅黑" w:hAnsi="微软雅黑" w:eastAsia="微软雅黑" w:cs="微软雅黑"/>
          <w:b/>
          <w:color w:val="auto"/>
          <w:sz w:val="24"/>
          <w:highlight w:val="none"/>
          <w:lang w:val="en-US" w:eastAsia="zh-CN"/>
        </w:rPr>
      </w:pPr>
    </w:p>
    <w:p w14:paraId="4FEF9552">
      <w:pPr>
        <w:tabs>
          <w:tab w:val="left" w:pos="525"/>
          <w:tab w:val="left" w:pos="1050"/>
        </w:tabs>
        <w:spacing w:line="360" w:lineRule="auto"/>
        <w:jc w:val="center"/>
        <w:rPr>
          <w:rFonts w:hint="eastAsia" w:ascii="微软雅黑" w:hAnsi="微软雅黑" w:eastAsia="微软雅黑" w:cs="微软雅黑"/>
          <w:b/>
          <w:color w:val="auto"/>
          <w:sz w:val="32"/>
          <w:szCs w:val="32"/>
          <w:highlight w:val="none"/>
        </w:rPr>
      </w:pPr>
      <w:r>
        <w:rPr>
          <w:rFonts w:hint="eastAsia" w:ascii="微软雅黑" w:hAnsi="微软雅黑" w:eastAsia="微软雅黑" w:cs="微软雅黑"/>
          <w:b/>
          <w:color w:val="auto"/>
          <w:sz w:val="32"/>
          <w:szCs w:val="32"/>
          <w:highlight w:val="none"/>
        </w:rPr>
        <w:t>技术</w:t>
      </w:r>
      <w:r>
        <w:rPr>
          <w:rFonts w:hint="eastAsia" w:ascii="微软雅黑" w:hAnsi="微软雅黑" w:eastAsia="微软雅黑" w:cs="微软雅黑"/>
          <w:b/>
          <w:color w:val="auto"/>
          <w:sz w:val="32"/>
          <w:szCs w:val="32"/>
          <w:highlight w:val="none"/>
          <w:lang w:val="en-US" w:eastAsia="zh-CN"/>
        </w:rPr>
        <w:t>服务</w:t>
      </w:r>
      <w:r>
        <w:rPr>
          <w:rFonts w:hint="eastAsia" w:ascii="微软雅黑" w:hAnsi="微软雅黑" w:eastAsia="微软雅黑" w:cs="微软雅黑"/>
          <w:b/>
          <w:color w:val="auto"/>
          <w:sz w:val="32"/>
          <w:szCs w:val="32"/>
          <w:highlight w:val="none"/>
        </w:rPr>
        <w:t>要求</w:t>
      </w:r>
    </w:p>
    <w:tbl>
      <w:tblPr>
        <w:tblStyle w:val="5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899"/>
        <w:gridCol w:w="1468"/>
        <w:gridCol w:w="7147"/>
      </w:tblGrid>
      <w:tr w14:paraId="68D12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5" w:type="dxa"/>
            <w:tcMar>
              <w:top w:w="100" w:type="dxa"/>
              <w:bottom w:w="100" w:type="dxa"/>
            </w:tcMar>
            <w:vAlign w:val="center"/>
          </w:tcPr>
          <w:p w14:paraId="5B393900">
            <w:pPr>
              <w:pStyle w:val="334"/>
              <w:spacing w:line="440" w:lineRule="exact"/>
              <w:jc w:val="center"/>
              <w:rPr>
                <w:rFonts w:hint="eastAsia" w:ascii="宋体" w:hAnsi="宋体" w:eastAsia="宋体" w:cs="宋体"/>
              </w:rPr>
            </w:pPr>
            <w:r>
              <w:rPr>
                <w:rFonts w:ascii="宋体" w:hAnsi="宋体" w:eastAsia="宋体" w:cs="宋体"/>
              </w:rPr>
              <w:t>序号</w:t>
            </w:r>
          </w:p>
        </w:tc>
        <w:tc>
          <w:tcPr>
            <w:tcW w:w="1315" w:type="dxa"/>
            <w:tcMar>
              <w:top w:w="100" w:type="dxa"/>
              <w:bottom w:w="100" w:type="dxa"/>
            </w:tcMar>
            <w:vAlign w:val="center"/>
          </w:tcPr>
          <w:p w14:paraId="3D4C9DD3">
            <w:pPr>
              <w:pStyle w:val="334"/>
              <w:spacing w:line="440" w:lineRule="exact"/>
              <w:jc w:val="center"/>
              <w:rPr>
                <w:rFonts w:hint="eastAsia" w:ascii="宋体" w:hAnsi="宋体" w:eastAsia="宋体" w:cs="宋体"/>
              </w:rPr>
            </w:pPr>
            <w:r>
              <w:rPr>
                <w:rFonts w:ascii="宋体" w:hAnsi="宋体" w:eastAsia="宋体" w:cs="宋体"/>
              </w:rPr>
              <w:t>名称</w:t>
            </w:r>
          </w:p>
        </w:tc>
        <w:tc>
          <w:tcPr>
            <w:tcW w:w="6402" w:type="dxa"/>
            <w:tcMar>
              <w:top w:w="100" w:type="dxa"/>
              <w:bottom w:w="100" w:type="dxa"/>
            </w:tcMar>
            <w:vAlign w:val="center"/>
          </w:tcPr>
          <w:p w14:paraId="3F4F85EA">
            <w:pPr>
              <w:pStyle w:val="334"/>
              <w:spacing w:line="440" w:lineRule="exact"/>
              <w:jc w:val="center"/>
              <w:rPr>
                <w:rFonts w:hint="eastAsia" w:ascii="宋体" w:hAnsi="宋体" w:eastAsia="宋体" w:cs="宋体"/>
              </w:rPr>
            </w:pPr>
            <w:r>
              <w:rPr>
                <w:rFonts w:ascii="宋体" w:hAnsi="宋体" w:eastAsia="宋体" w:cs="宋体"/>
              </w:rPr>
              <w:t>内容</w:t>
            </w:r>
          </w:p>
        </w:tc>
      </w:tr>
      <w:tr w14:paraId="0E44C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5" w:type="dxa"/>
            <w:tcMar>
              <w:top w:w="100" w:type="dxa"/>
              <w:bottom w:w="100" w:type="dxa"/>
            </w:tcMar>
            <w:vAlign w:val="center"/>
          </w:tcPr>
          <w:p w14:paraId="3B17A65A">
            <w:pPr>
              <w:pStyle w:val="334"/>
              <w:spacing w:line="440" w:lineRule="exact"/>
              <w:jc w:val="center"/>
              <w:rPr>
                <w:rFonts w:hint="eastAsia" w:ascii="宋体" w:hAnsi="宋体" w:eastAsia="宋体" w:cs="宋体"/>
              </w:rPr>
            </w:pPr>
            <w:r>
              <w:rPr>
                <w:rFonts w:ascii="宋体" w:hAnsi="宋体" w:eastAsia="宋体" w:cs="宋体"/>
                <w:color w:val="000000"/>
              </w:rPr>
              <w:t>1</w:t>
            </w:r>
          </w:p>
        </w:tc>
        <w:tc>
          <w:tcPr>
            <w:tcW w:w="1315" w:type="dxa"/>
            <w:tcMar>
              <w:top w:w="100" w:type="dxa"/>
              <w:bottom w:w="100" w:type="dxa"/>
            </w:tcMar>
            <w:vAlign w:val="center"/>
          </w:tcPr>
          <w:p w14:paraId="1555AF07">
            <w:pPr>
              <w:pStyle w:val="334"/>
              <w:spacing w:line="440" w:lineRule="exact"/>
              <w:jc w:val="both"/>
              <w:rPr>
                <w:rFonts w:hint="eastAsia" w:ascii="宋体" w:hAnsi="宋体" w:eastAsia="宋体" w:cs="宋体"/>
              </w:rPr>
            </w:pPr>
            <w:r>
              <w:rPr>
                <w:rFonts w:ascii="宋体" w:hAnsi="宋体" w:eastAsia="宋体" w:cs="宋体"/>
              </w:rPr>
              <w:t>项目概况</w:t>
            </w:r>
          </w:p>
        </w:tc>
        <w:tc>
          <w:tcPr>
            <w:tcW w:w="6402" w:type="dxa"/>
            <w:tcMar>
              <w:top w:w="100" w:type="dxa"/>
              <w:bottom w:w="100" w:type="dxa"/>
            </w:tcMar>
            <w:vAlign w:val="center"/>
          </w:tcPr>
          <w:p w14:paraId="13285B57">
            <w:pPr>
              <w:pStyle w:val="334"/>
              <w:spacing w:line="440" w:lineRule="exact"/>
              <w:jc w:val="both"/>
              <w:rPr>
                <w:rFonts w:hint="eastAsia" w:ascii="宋体" w:hAnsi="宋体" w:eastAsia="宋体" w:cs="宋体"/>
                <w:i/>
                <w:u w:val="single"/>
              </w:rPr>
            </w:pPr>
            <w:r>
              <w:rPr>
                <w:rFonts w:ascii="宋体" w:hAnsi="宋体" w:eastAsia="宋体" w:cs="宋体"/>
                <w:i/>
                <w:u w:val="single"/>
              </w:rPr>
              <w:t xml:space="preserve">（1）设备名称：东软CT 设备；（2）型号：NeuViz </w:t>
            </w:r>
            <w:r>
              <w:rPr>
                <w:rFonts w:hint="eastAsia" w:ascii="宋体" w:hAnsi="宋体" w:eastAsia="宋体" w:cs="宋体"/>
                <w:i/>
                <w:u w:val="single"/>
              </w:rPr>
              <w:t>classic</w:t>
            </w:r>
            <w:r>
              <w:rPr>
                <w:rFonts w:ascii="宋体" w:hAnsi="宋体" w:eastAsia="宋体" w:cs="宋体"/>
                <w:i/>
                <w:u w:val="single"/>
              </w:rPr>
              <w:t>；（3）球管品牌：dunlee；球管型号：</w:t>
            </w:r>
            <w:r>
              <w:rPr>
                <w:rFonts w:hint="eastAsia" w:ascii="宋体" w:hAnsi="宋体" w:eastAsia="宋体" w:cs="宋体"/>
                <w:i/>
                <w:u w:val="single"/>
              </w:rPr>
              <w:t>CTR1740cqnm</w:t>
            </w:r>
            <w:r>
              <w:rPr>
                <w:rFonts w:ascii="宋体" w:hAnsi="宋体" w:eastAsia="宋体" w:cs="宋体"/>
                <w:i/>
                <w:u w:val="single"/>
              </w:rPr>
              <w:t>（</w:t>
            </w:r>
            <w:r>
              <w:rPr>
                <w:rFonts w:hint="eastAsia" w:ascii="宋体" w:hAnsi="宋体" w:eastAsia="宋体" w:cs="宋体"/>
                <w:i/>
                <w:u w:val="single"/>
              </w:rPr>
              <w:t>4</w:t>
            </w:r>
            <w:r>
              <w:rPr>
                <w:rFonts w:ascii="宋体" w:hAnsi="宋体" w:eastAsia="宋体" w:cs="宋体"/>
                <w:i/>
                <w:u w:val="single"/>
              </w:rPr>
              <w:t>）服务期限：</w:t>
            </w:r>
            <w:r>
              <w:rPr>
                <w:rFonts w:hint="eastAsia" w:ascii="宋体" w:hAnsi="宋体" w:eastAsia="宋体" w:cs="宋体"/>
                <w:i/>
                <w:u w:val="single"/>
              </w:rPr>
              <w:t>5</w:t>
            </w:r>
            <w:r>
              <w:rPr>
                <w:rFonts w:ascii="宋体" w:hAnsi="宋体" w:eastAsia="宋体" w:cs="宋体"/>
                <w:i/>
                <w:u w:val="single"/>
              </w:rPr>
              <w:t>年。（</w:t>
            </w:r>
            <w:r>
              <w:rPr>
                <w:rFonts w:hint="eastAsia" w:ascii="宋体" w:hAnsi="宋体" w:eastAsia="宋体" w:cs="宋体"/>
                <w:i/>
                <w:u w:val="single"/>
              </w:rPr>
              <w:t>5</w:t>
            </w:r>
            <w:r>
              <w:rPr>
                <w:rFonts w:ascii="宋体" w:hAnsi="宋体" w:eastAsia="宋体" w:cs="宋体"/>
                <w:i/>
                <w:u w:val="single"/>
              </w:rPr>
              <w:t>）维保服务报价包括所有配件、工程师的人工费、差旅费、工具费及发票税金等费用。</w:t>
            </w:r>
          </w:p>
        </w:tc>
      </w:tr>
      <w:tr w14:paraId="4D658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5" w:type="dxa"/>
            <w:vMerge w:val="restart"/>
            <w:tcMar>
              <w:top w:w="100" w:type="dxa"/>
              <w:bottom w:w="100" w:type="dxa"/>
            </w:tcMar>
            <w:vAlign w:val="center"/>
          </w:tcPr>
          <w:p w14:paraId="000B56AB">
            <w:pPr>
              <w:pStyle w:val="334"/>
              <w:spacing w:line="440" w:lineRule="exact"/>
              <w:jc w:val="center"/>
              <w:rPr>
                <w:rFonts w:hint="eastAsia" w:ascii="宋体" w:hAnsi="宋体" w:eastAsia="宋体" w:cs="宋体"/>
              </w:rPr>
            </w:pPr>
            <w:r>
              <w:rPr>
                <w:rFonts w:ascii="宋体" w:hAnsi="宋体" w:eastAsia="宋体" w:cs="宋体"/>
                <w:color w:val="000000"/>
              </w:rPr>
              <w:t>2</w:t>
            </w:r>
          </w:p>
        </w:tc>
        <w:tc>
          <w:tcPr>
            <w:tcW w:w="1315" w:type="dxa"/>
            <w:vMerge w:val="restart"/>
            <w:tcMar>
              <w:top w:w="100" w:type="dxa"/>
              <w:bottom w:w="100" w:type="dxa"/>
            </w:tcMar>
            <w:vAlign w:val="center"/>
          </w:tcPr>
          <w:p w14:paraId="4E088934">
            <w:pPr>
              <w:pStyle w:val="334"/>
              <w:spacing w:line="440" w:lineRule="exact"/>
              <w:jc w:val="both"/>
              <w:rPr>
                <w:rFonts w:hint="eastAsia" w:ascii="宋体" w:hAnsi="宋体" w:eastAsia="宋体" w:cs="宋体"/>
              </w:rPr>
            </w:pPr>
            <w:r>
              <w:rPr>
                <w:rFonts w:ascii="宋体" w:hAnsi="宋体" w:eastAsia="宋体" w:cs="宋体"/>
              </w:rPr>
              <w:t>服务要求</w:t>
            </w:r>
          </w:p>
        </w:tc>
        <w:tc>
          <w:tcPr>
            <w:tcW w:w="6402" w:type="dxa"/>
            <w:tcMar>
              <w:top w:w="100" w:type="dxa"/>
              <w:bottom w:w="100" w:type="dxa"/>
            </w:tcMar>
            <w:vAlign w:val="center"/>
          </w:tcPr>
          <w:p w14:paraId="38847ABE">
            <w:pPr>
              <w:pStyle w:val="334"/>
              <w:spacing w:line="440" w:lineRule="exact"/>
              <w:jc w:val="both"/>
              <w:rPr>
                <w:rFonts w:hint="eastAsia" w:ascii="宋体" w:hAnsi="宋体" w:eastAsia="宋体" w:cs="宋体"/>
              </w:rPr>
            </w:pPr>
            <w:r>
              <w:rPr>
                <w:rFonts w:ascii="宋体" w:hAnsi="宋体" w:eastAsia="宋体" w:cs="宋体"/>
              </w:rPr>
              <w:t>1．维保范围：本项目的维保服务包含设备的所有硬件（含维保服务期内的原厂配件更换和设备维保）及设备生产厂家原厂提供的软件维护及升级；</w:t>
            </w:r>
            <w:r>
              <w:rPr>
                <w:rFonts w:hint="eastAsia" w:ascii="宋体" w:hAnsi="宋体" w:eastAsia="宋体" w:cs="宋体"/>
              </w:rPr>
              <w:t>不包含外设设备如：稳压电源、胶片打印机等为CT机提供服务的设备。</w:t>
            </w:r>
          </w:p>
        </w:tc>
      </w:tr>
      <w:tr w14:paraId="2EB79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5" w:type="dxa"/>
            <w:vMerge w:val="continue"/>
            <w:tcMar>
              <w:top w:w="100" w:type="dxa"/>
              <w:bottom w:w="100" w:type="dxa"/>
            </w:tcMar>
            <w:vAlign w:val="center"/>
          </w:tcPr>
          <w:p w14:paraId="4BDAAD57">
            <w:pPr>
              <w:pStyle w:val="334"/>
              <w:spacing w:line="440" w:lineRule="exact"/>
              <w:jc w:val="both"/>
              <w:rPr>
                <w:rFonts w:hint="eastAsia" w:ascii="宋体" w:hAnsi="宋体" w:eastAsia="宋体" w:cs="宋体"/>
              </w:rPr>
            </w:pPr>
          </w:p>
        </w:tc>
        <w:tc>
          <w:tcPr>
            <w:tcW w:w="1315" w:type="dxa"/>
            <w:vMerge w:val="continue"/>
            <w:tcMar>
              <w:top w:w="100" w:type="dxa"/>
              <w:bottom w:w="100" w:type="dxa"/>
            </w:tcMar>
            <w:vAlign w:val="center"/>
          </w:tcPr>
          <w:p w14:paraId="1F38CA62">
            <w:pPr>
              <w:pStyle w:val="334"/>
              <w:spacing w:line="440" w:lineRule="exact"/>
              <w:jc w:val="both"/>
              <w:rPr>
                <w:rFonts w:hint="eastAsia" w:ascii="宋体" w:hAnsi="宋体" w:eastAsia="宋体" w:cs="宋体"/>
              </w:rPr>
            </w:pPr>
          </w:p>
        </w:tc>
        <w:tc>
          <w:tcPr>
            <w:tcW w:w="6402" w:type="dxa"/>
            <w:tcMar>
              <w:top w:w="100" w:type="dxa"/>
              <w:bottom w:w="100" w:type="dxa"/>
            </w:tcMar>
            <w:vAlign w:val="center"/>
          </w:tcPr>
          <w:p w14:paraId="60B8DB08">
            <w:pPr>
              <w:pStyle w:val="334"/>
              <w:spacing w:line="440" w:lineRule="exact"/>
              <w:jc w:val="both"/>
              <w:rPr>
                <w:rFonts w:hint="eastAsia" w:ascii="宋体" w:hAnsi="宋体" w:eastAsia="宋体" w:cs="宋体"/>
              </w:rPr>
            </w:pPr>
            <w:r>
              <w:rPr>
                <w:rFonts w:ascii="宋体" w:hAnsi="宋体" w:eastAsia="宋体" w:cs="宋体"/>
              </w:rPr>
              <w:t>2．备件：需设有设备专属配件仓库，并确保 365*24小时供需服务及物流渠道（需提供仓库相关信息：地址及联系人、联系电话）；</w:t>
            </w:r>
          </w:p>
        </w:tc>
      </w:tr>
      <w:tr w14:paraId="7DC7A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5" w:type="dxa"/>
            <w:vMerge w:val="continue"/>
            <w:tcMar>
              <w:top w:w="100" w:type="dxa"/>
              <w:bottom w:w="100" w:type="dxa"/>
            </w:tcMar>
            <w:vAlign w:val="center"/>
          </w:tcPr>
          <w:p w14:paraId="54EA3F8A">
            <w:pPr>
              <w:pStyle w:val="334"/>
              <w:spacing w:line="440" w:lineRule="exact"/>
              <w:jc w:val="both"/>
              <w:rPr>
                <w:rFonts w:hint="eastAsia" w:ascii="宋体" w:hAnsi="宋体" w:eastAsia="宋体" w:cs="宋体"/>
              </w:rPr>
            </w:pPr>
          </w:p>
        </w:tc>
        <w:tc>
          <w:tcPr>
            <w:tcW w:w="1315" w:type="dxa"/>
            <w:vMerge w:val="continue"/>
            <w:tcMar>
              <w:top w:w="100" w:type="dxa"/>
              <w:bottom w:w="100" w:type="dxa"/>
            </w:tcMar>
            <w:vAlign w:val="center"/>
          </w:tcPr>
          <w:p w14:paraId="39948067">
            <w:pPr>
              <w:pStyle w:val="334"/>
              <w:spacing w:line="440" w:lineRule="exact"/>
              <w:jc w:val="both"/>
              <w:rPr>
                <w:rFonts w:hint="eastAsia" w:ascii="宋体" w:hAnsi="宋体" w:eastAsia="宋体" w:cs="宋体"/>
              </w:rPr>
            </w:pPr>
          </w:p>
        </w:tc>
        <w:tc>
          <w:tcPr>
            <w:tcW w:w="6402" w:type="dxa"/>
            <w:tcMar>
              <w:top w:w="100" w:type="dxa"/>
              <w:bottom w:w="100" w:type="dxa"/>
            </w:tcMar>
            <w:vAlign w:val="center"/>
          </w:tcPr>
          <w:p w14:paraId="110EBF25">
            <w:pPr>
              <w:pStyle w:val="334"/>
              <w:spacing w:line="440" w:lineRule="exact"/>
              <w:jc w:val="both"/>
              <w:rPr>
                <w:rFonts w:hint="eastAsia" w:ascii="宋体" w:hAnsi="宋体" w:eastAsia="宋体" w:cs="宋体"/>
              </w:rPr>
            </w:pPr>
            <w:r>
              <w:rPr>
                <w:rFonts w:ascii="宋体" w:hAnsi="宋体" w:eastAsia="宋体" w:cs="宋体"/>
              </w:rPr>
              <w:t>3．工程师：本项目需配备专属负责工程师，工程师配备≥2 名，工程师提供无限次上门维修服务，维修人员的工时费、差旅费等相关人员费用包含在本项目报价中；在服务期限内，服务工程师应保持稳定，以保证服务工作的正常进行。投标人可根据项目实际需求和业务需要对成员作出合理调整。若更换人员，应以相当资格与技能的人员替换，并提前将相关人员身份证明文件、资格证书等相关材料交于采购人备案；</w:t>
            </w:r>
          </w:p>
        </w:tc>
      </w:tr>
      <w:tr w14:paraId="3F572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5" w:type="dxa"/>
            <w:vMerge w:val="continue"/>
            <w:tcMar>
              <w:top w:w="100" w:type="dxa"/>
              <w:bottom w:w="100" w:type="dxa"/>
            </w:tcMar>
            <w:vAlign w:val="center"/>
          </w:tcPr>
          <w:p w14:paraId="70227474">
            <w:pPr>
              <w:pStyle w:val="334"/>
              <w:spacing w:line="440" w:lineRule="exact"/>
              <w:jc w:val="both"/>
              <w:rPr>
                <w:rFonts w:hint="eastAsia" w:ascii="宋体" w:hAnsi="宋体" w:eastAsia="宋体" w:cs="宋体"/>
              </w:rPr>
            </w:pPr>
          </w:p>
        </w:tc>
        <w:tc>
          <w:tcPr>
            <w:tcW w:w="1315" w:type="dxa"/>
            <w:vMerge w:val="continue"/>
            <w:tcMar>
              <w:top w:w="100" w:type="dxa"/>
              <w:bottom w:w="100" w:type="dxa"/>
            </w:tcMar>
            <w:vAlign w:val="center"/>
          </w:tcPr>
          <w:p w14:paraId="74DA6EAA">
            <w:pPr>
              <w:pStyle w:val="334"/>
              <w:spacing w:line="440" w:lineRule="exact"/>
              <w:jc w:val="both"/>
              <w:rPr>
                <w:rFonts w:hint="eastAsia" w:ascii="宋体" w:hAnsi="宋体" w:eastAsia="宋体" w:cs="宋体"/>
              </w:rPr>
            </w:pPr>
          </w:p>
        </w:tc>
        <w:tc>
          <w:tcPr>
            <w:tcW w:w="6402" w:type="dxa"/>
            <w:tcMar>
              <w:top w:w="100" w:type="dxa"/>
              <w:bottom w:w="100" w:type="dxa"/>
            </w:tcMar>
            <w:vAlign w:val="center"/>
          </w:tcPr>
          <w:p w14:paraId="7AD45894">
            <w:pPr>
              <w:pStyle w:val="334"/>
              <w:spacing w:line="440" w:lineRule="exact"/>
              <w:jc w:val="both"/>
              <w:rPr>
                <w:rFonts w:hint="eastAsia" w:ascii="宋体" w:hAnsi="宋体" w:eastAsia="宋体" w:cs="宋体"/>
              </w:rPr>
            </w:pPr>
            <w:r>
              <w:rPr>
                <w:rFonts w:ascii="宋体" w:hAnsi="宋体" w:eastAsia="宋体" w:cs="宋体"/>
              </w:rPr>
              <w:t xml:space="preserve">4．响应时间：合同期内，提供 24 小时×365 天，维修热线电话支持。接到故障报修电话后，1小时内响应；接到电话报修后，确需派工的，工程师须在 </w:t>
            </w:r>
            <w:r>
              <w:rPr>
                <w:rFonts w:hint="eastAsia" w:ascii="宋体" w:hAnsi="宋体" w:eastAsia="宋体" w:cs="宋体"/>
              </w:rPr>
              <w:t>48</w:t>
            </w:r>
            <w:r>
              <w:rPr>
                <w:rFonts w:ascii="宋体" w:hAnsi="宋体" w:eastAsia="宋体" w:cs="宋体"/>
              </w:rPr>
              <w:t>小时内到达现场维修；</w:t>
            </w:r>
          </w:p>
        </w:tc>
      </w:tr>
      <w:tr w14:paraId="72BFE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5" w:type="dxa"/>
            <w:vMerge w:val="continue"/>
            <w:tcMar>
              <w:top w:w="100" w:type="dxa"/>
              <w:bottom w:w="100" w:type="dxa"/>
            </w:tcMar>
            <w:vAlign w:val="center"/>
          </w:tcPr>
          <w:p w14:paraId="0E04E516">
            <w:pPr>
              <w:pStyle w:val="334"/>
              <w:spacing w:line="440" w:lineRule="exact"/>
              <w:jc w:val="both"/>
              <w:rPr>
                <w:rFonts w:hint="eastAsia" w:ascii="宋体" w:hAnsi="宋体" w:eastAsia="宋体" w:cs="宋体"/>
              </w:rPr>
            </w:pPr>
          </w:p>
        </w:tc>
        <w:tc>
          <w:tcPr>
            <w:tcW w:w="1315" w:type="dxa"/>
            <w:vMerge w:val="continue"/>
            <w:tcMar>
              <w:top w:w="100" w:type="dxa"/>
              <w:bottom w:w="100" w:type="dxa"/>
            </w:tcMar>
            <w:vAlign w:val="center"/>
          </w:tcPr>
          <w:p w14:paraId="6CD525E7">
            <w:pPr>
              <w:pStyle w:val="334"/>
              <w:spacing w:line="440" w:lineRule="exact"/>
              <w:jc w:val="both"/>
              <w:rPr>
                <w:rFonts w:hint="eastAsia" w:ascii="宋体" w:hAnsi="宋体" w:eastAsia="宋体" w:cs="宋体"/>
              </w:rPr>
            </w:pPr>
          </w:p>
        </w:tc>
        <w:tc>
          <w:tcPr>
            <w:tcW w:w="6402" w:type="dxa"/>
            <w:tcMar>
              <w:top w:w="100" w:type="dxa"/>
              <w:bottom w:w="100" w:type="dxa"/>
            </w:tcMar>
            <w:vAlign w:val="center"/>
          </w:tcPr>
          <w:p w14:paraId="481BEF80">
            <w:pPr>
              <w:pStyle w:val="334"/>
              <w:spacing w:line="440" w:lineRule="exact"/>
              <w:jc w:val="both"/>
              <w:rPr>
                <w:rFonts w:hint="eastAsia" w:ascii="宋体" w:hAnsi="宋体" w:eastAsia="宋体" w:cs="宋体"/>
              </w:rPr>
            </w:pPr>
            <w:r>
              <w:rPr>
                <w:rFonts w:ascii="宋体" w:hAnsi="宋体" w:eastAsia="宋体" w:cs="宋体"/>
              </w:rPr>
              <w:t>5.享受优先派工，维修响应时间为1小时内电话响应，在宕机情况下</w:t>
            </w:r>
            <w:r>
              <w:rPr>
                <w:rFonts w:hint="eastAsia" w:ascii="宋体" w:hAnsi="宋体" w:eastAsia="宋体" w:cs="宋体"/>
              </w:rPr>
              <w:t>48</w:t>
            </w:r>
            <w:r>
              <w:rPr>
                <w:rFonts w:ascii="宋体" w:hAnsi="宋体" w:eastAsia="宋体" w:cs="宋体"/>
              </w:rPr>
              <w:t>小时内到达现场。保修期内提供不限次数现场维修。</w:t>
            </w:r>
          </w:p>
        </w:tc>
      </w:tr>
      <w:tr w14:paraId="0E914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5" w:type="dxa"/>
            <w:vMerge w:val="continue"/>
            <w:tcMar>
              <w:top w:w="100" w:type="dxa"/>
              <w:bottom w:w="100" w:type="dxa"/>
            </w:tcMar>
            <w:vAlign w:val="center"/>
          </w:tcPr>
          <w:p w14:paraId="4617A139">
            <w:pPr>
              <w:pStyle w:val="334"/>
              <w:spacing w:line="440" w:lineRule="exact"/>
              <w:jc w:val="both"/>
              <w:rPr>
                <w:rFonts w:hint="eastAsia" w:ascii="宋体" w:hAnsi="宋体" w:eastAsia="宋体" w:cs="宋体"/>
              </w:rPr>
            </w:pPr>
          </w:p>
        </w:tc>
        <w:tc>
          <w:tcPr>
            <w:tcW w:w="1315" w:type="dxa"/>
            <w:vMerge w:val="continue"/>
            <w:tcMar>
              <w:top w:w="100" w:type="dxa"/>
              <w:bottom w:w="100" w:type="dxa"/>
            </w:tcMar>
            <w:vAlign w:val="center"/>
          </w:tcPr>
          <w:p w14:paraId="1390F388">
            <w:pPr>
              <w:pStyle w:val="334"/>
              <w:spacing w:line="440" w:lineRule="exact"/>
              <w:jc w:val="both"/>
              <w:rPr>
                <w:rFonts w:hint="eastAsia" w:ascii="宋体" w:hAnsi="宋体" w:eastAsia="宋体" w:cs="宋体"/>
              </w:rPr>
            </w:pPr>
          </w:p>
        </w:tc>
        <w:tc>
          <w:tcPr>
            <w:tcW w:w="6402" w:type="dxa"/>
            <w:tcMar>
              <w:top w:w="100" w:type="dxa"/>
              <w:bottom w:w="100" w:type="dxa"/>
            </w:tcMar>
            <w:vAlign w:val="center"/>
          </w:tcPr>
          <w:p w14:paraId="3ADB6A7E">
            <w:pPr>
              <w:pStyle w:val="334"/>
              <w:spacing w:line="440" w:lineRule="exact"/>
              <w:jc w:val="both"/>
              <w:rPr>
                <w:rFonts w:hint="eastAsia" w:ascii="宋体" w:hAnsi="宋体" w:eastAsia="宋体" w:cs="宋体"/>
              </w:rPr>
            </w:pPr>
            <w:r>
              <w:rPr>
                <w:rFonts w:ascii="宋体" w:hAnsi="宋体" w:eastAsia="宋体" w:cs="宋体"/>
              </w:rPr>
              <w:t>6．按一年365日计算，合同期内保证≥3</w:t>
            </w:r>
            <w:r>
              <w:rPr>
                <w:rFonts w:hint="eastAsia" w:ascii="宋体" w:hAnsi="宋体" w:eastAsia="宋体" w:cs="宋体"/>
              </w:rPr>
              <w:t>4</w:t>
            </w:r>
            <w:r>
              <w:rPr>
                <w:rFonts w:ascii="宋体" w:hAnsi="宋体" w:eastAsia="宋体" w:cs="宋体"/>
              </w:rPr>
              <w:t>5天/年的开机率。如果此开机率由于成交维保商的原因未能达到，对于开机率低于3</w:t>
            </w:r>
            <w:r>
              <w:rPr>
                <w:rFonts w:hint="eastAsia" w:ascii="宋体" w:hAnsi="宋体" w:eastAsia="宋体" w:cs="宋体"/>
              </w:rPr>
              <w:t>4</w:t>
            </w:r>
            <w:r>
              <w:rPr>
                <w:rFonts w:ascii="宋体" w:hAnsi="宋体" w:eastAsia="宋体" w:cs="宋体"/>
              </w:rPr>
              <w:t>5天/年, 若达不到此天数，合同期限将以不足天数的两倍免费延长保修时间</w:t>
            </w:r>
          </w:p>
        </w:tc>
      </w:tr>
      <w:tr w14:paraId="6D6DD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5" w:type="dxa"/>
            <w:vMerge w:val="continue"/>
            <w:tcMar>
              <w:top w:w="100" w:type="dxa"/>
              <w:bottom w:w="100" w:type="dxa"/>
            </w:tcMar>
            <w:vAlign w:val="center"/>
          </w:tcPr>
          <w:p w14:paraId="762633FF">
            <w:pPr>
              <w:pStyle w:val="334"/>
              <w:spacing w:line="440" w:lineRule="exact"/>
              <w:jc w:val="both"/>
              <w:rPr>
                <w:rFonts w:hint="eastAsia" w:ascii="宋体" w:hAnsi="宋体" w:eastAsia="宋体" w:cs="宋体"/>
              </w:rPr>
            </w:pPr>
          </w:p>
        </w:tc>
        <w:tc>
          <w:tcPr>
            <w:tcW w:w="1315" w:type="dxa"/>
            <w:vMerge w:val="continue"/>
            <w:tcMar>
              <w:top w:w="100" w:type="dxa"/>
              <w:bottom w:w="100" w:type="dxa"/>
            </w:tcMar>
            <w:vAlign w:val="center"/>
          </w:tcPr>
          <w:p w14:paraId="32A5AE8E">
            <w:pPr>
              <w:pStyle w:val="334"/>
              <w:spacing w:line="440" w:lineRule="exact"/>
              <w:jc w:val="both"/>
              <w:rPr>
                <w:rFonts w:hint="eastAsia" w:ascii="宋体" w:hAnsi="宋体" w:eastAsia="宋体" w:cs="宋体"/>
              </w:rPr>
            </w:pPr>
          </w:p>
        </w:tc>
        <w:tc>
          <w:tcPr>
            <w:tcW w:w="6402" w:type="dxa"/>
            <w:tcMar>
              <w:top w:w="100" w:type="dxa"/>
              <w:bottom w:w="100" w:type="dxa"/>
            </w:tcMar>
            <w:vAlign w:val="center"/>
          </w:tcPr>
          <w:p w14:paraId="19264D3D">
            <w:pPr>
              <w:pStyle w:val="334"/>
              <w:spacing w:line="440" w:lineRule="exact"/>
              <w:jc w:val="both"/>
              <w:rPr>
                <w:rFonts w:hint="eastAsia" w:ascii="宋体" w:hAnsi="宋体" w:eastAsia="宋体" w:cs="宋体"/>
              </w:rPr>
            </w:pPr>
            <w:r>
              <w:rPr>
                <w:rFonts w:ascii="宋体" w:hAnsi="宋体" w:eastAsia="宋体" w:cs="宋体"/>
              </w:rPr>
              <w:t>7．预防性保养：合同期内由原厂的专业工程师提供大于</w:t>
            </w:r>
            <w:r>
              <w:rPr>
                <w:rFonts w:hint="eastAsia" w:ascii="宋体" w:hAnsi="宋体" w:eastAsia="宋体" w:cs="宋体"/>
              </w:rPr>
              <w:t>等于</w:t>
            </w:r>
            <w:r>
              <w:rPr>
                <w:rFonts w:ascii="宋体" w:hAnsi="宋体" w:eastAsia="宋体" w:cs="宋体"/>
              </w:rPr>
              <w:t>2次/年定期的专业保养，保证设备处于最佳运行状态。与采购人约定定期保养时间，按照原厂保养内容清单，结合设备状态，免费更换损耗部件，按照厂家标准将设备各项参数调校至正常状态。定期维保工作结束之日起5个工作日内向采购人设备科提交维保总结和设备运行报告（即保养报告）。</w:t>
            </w:r>
          </w:p>
        </w:tc>
      </w:tr>
      <w:tr w14:paraId="10DFD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3244" w:hRule="atLeast"/>
        </w:trPr>
        <w:tc>
          <w:tcPr>
            <w:tcW w:w="805" w:type="dxa"/>
            <w:vMerge w:val="continue"/>
            <w:tcMar>
              <w:top w:w="100" w:type="dxa"/>
              <w:bottom w:w="100" w:type="dxa"/>
            </w:tcMar>
            <w:vAlign w:val="center"/>
          </w:tcPr>
          <w:p w14:paraId="29656954">
            <w:pPr>
              <w:pStyle w:val="334"/>
              <w:spacing w:line="440" w:lineRule="exact"/>
              <w:jc w:val="both"/>
              <w:rPr>
                <w:rFonts w:hint="eastAsia" w:ascii="宋体" w:hAnsi="宋体" w:eastAsia="宋体" w:cs="宋体"/>
              </w:rPr>
            </w:pPr>
          </w:p>
        </w:tc>
        <w:tc>
          <w:tcPr>
            <w:tcW w:w="1315" w:type="dxa"/>
            <w:vMerge w:val="continue"/>
            <w:tcMar>
              <w:top w:w="100" w:type="dxa"/>
              <w:bottom w:w="100" w:type="dxa"/>
            </w:tcMar>
            <w:vAlign w:val="center"/>
          </w:tcPr>
          <w:p w14:paraId="32867D3B">
            <w:pPr>
              <w:pStyle w:val="334"/>
              <w:spacing w:line="440" w:lineRule="exact"/>
              <w:jc w:val="both"/>
              <w:rPr>
                <w:rFonts w:hint="eastAsia" w:ascii="宋体" w:hAnsi="宋体" w:eastAsia="宋体" w:cs="宋体"/>
              </w:rPr>
            </w:pPr>
          </w:p>
        </w:tc>
        <w:tc>
          <w:tcPr>
            <w:tcW w:w="6402" w:type="dxa"/>
            <w:tcMar>
              <w:top w:w="100" w:type="dxa"/>
              <w:bottom w:w="100" w:type="dxa"/>
            </w:tcMar>
          </w:tcPr>
          <w:p w14:paraId="6C7EFF5F">
            <w:pPr>
              <w:pStyle w:val="334"/>
              <w:spacing w:line="440" w:lineRule="exact"/>
              <w:jc w:val="both"/>
              <w:rPr>
                <w:rFonts w:hint="eastAsia" w:ascii="宋体" w:hAnsi="宋体" w:eastAsia="宋体" w:cs="宋体"/>
              </w:rPr>
            </w:pPr>
            <w:r>
              <w:rPr>
                <w:rFonts w:ascii="宋体" w:hAnsi="宋体" w:eastAsia="宋体" w:cs="宋体"/>
              </w:rPr>
              <w:t>8.备件要求：</w:t>
            </w:r>
          </w:p>
          <w:p w14:paraId="631B7ED0">
            <w:pPr>
              <w:pStyle w:val="334"/>
              <w:spacing w:line="440" w:lineRule="exact"/>
              <w:ind w:firstLine="240"/>
              <w:jc w:val="both"/>
              <w:rPr>
                <w:rFonts w:hint="eastAsia" w:ascii="宋体" w:hAnsi="宋体" w:eastAsia="宋体" w:cs="宋体"/>
              </w:rPr>
            </w:pPr>
            <w:r>
              <w:rPr>
                <w:rFonts w:ascii="宋体" w:hAnsi="宋体" w:eastAsia="宋体" w:cs="宋体"/>
                <w:iCs/>
              </w:rPr>
              <w:t>1</w:t>
            </w:r>
            <w:r>
              <w:rPr>
                <w:rFonts w:hint="eastAsia" w:ascii="宋体" w:hAnsi="宋体" w:eastAsia="宋体" w:cs="宋体"/>
                <w:iCs/>
              </w:rPr>
              <w:t>.</w:t>
            </w:r>
            <w:r>
              <w:rPr>
                <w:rFonts w:ascii="宋体" w:hAnsi="宋体" w:eastAsia="宋体" w:cs="宋体"/>
              </w:rPr>
              <w:t>维保服务期间需要更换的配件均须经院方验收合格后方可使用</w:t>
            </w:r>
            <w:r>
              <w:rPr>
                <w:rFonts w:hint="eastAsia" w:ascii="宋体" w:hAnsi="宋体" w:eastAsia="宋体" w:cs="宋体"/>
              </w:rPr>
              <w:t>，</w:t>
            </w:r>
            <w:r>
              <w:rPr>
                <w:rFonts w:ascii="宋体" w:hAnsi="宋体" w:eastAsia="宋体" w:cs="宋体"/>
              </w:rPr>
              <w:t>维修所用配件</w:t>
            </w:r>
            <w:r>
              <w:rPr>
                <w:rFonts w:ascii="宋体" w:hAnsi="宋体" w:eastAsia="宋体" w:cs="宋体"/>
                <w:iCs/>
              </w:rPr>
              <w:t>必须是全新原厂原装、经原厂测试合格的产品。并保证设备经维修后的技术参数与原机数据相同。</w:t>
            </w:r>
          </w:p>
          <w:p w14:paraId="2F815D2A">
            <w:pPr>
              <w:pStyle w:val="334"/>
              <w:spacing w:line="440" w:lineRule="exact"/>
              <w:ind w:firstLine="240"/>
              <w:jc w:val="both"/>
              <w:rPr>
                <w:rFonts w:hint="eastAsia" w:ascii="宋体" w:hAnsi="宋体" w:eastAsia="宋体" w:cs="宋体"/>
              </w:rPr>
            </w:pPr>
            <w:r>
              <w:rPr>
                <w:rFonts w:ascii="宋体" w:hAnsi="宋体" w:eastAsia="宋体" w:cs="宋体"/>
              </w:rPr>
              <w:t>2</w:t>
            </w:r>
            <w:r>
              <w:rPr>
                <w:rFonts w:hint="eastAsia" w:ascii="宋体" w:hAnsi="宋体" w:eastAsia="宋体" w:cs="宋体"/>
              </w:rPr>
              <w:t>.</w:t>
            </w:r>
            <w:r>
              <w:rPr>
                <w:rFonts w:ascii="宋体" w:hAnsi="宋体" w:eastAsia="宋体" w:cs="宋体"/>
              </w:rPr>
              <w:t>若配件发生故障需更换时，享受免费更换。优先提供保修所需的备件，自用户确认之时起，所需更换备件≤</w:t>
            </w:r>
            <w:r>
              <w:rPr>
                <w:rFonts w:hint="eastAsia" w:ascii="宋体" w:hAnsi="宋体" w:eastAsia="宋体" w:cs="宋体"/>
              </w:rPr>
              <w:t>72</w:t>
            </w:r>
            <w:r>
              <w:rPr>
                <w:rFonts w:ascii="宋体" w:hAnsi="宋体" w:eastAsia="宋体" w:cs="宋体"/>
              </w:rPr>
              <w:t>小时抵达用户单位。</w:t>
            </w:r>
          </w:p>
        </w:tc>
      </w:tr>
      <w:tr w14:paraId="57E3B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5" w:type="dxa"/>
            <w:vMerge w:val="continue"/>
            <w:tcMar>
              <w:top w:w="100" w:type="dxa"/>
              <w:bottom w:w="100" w:type="dxa"/>
            </w:tcMar>
            <w:vAlign w:val="center"/>
          </w:tcPr>
          <w:p w14:paraId="76235044">
            <w:pPr>
              <w:pStyle w:val="334"/>
              <w:spacing w:line="440" w:lineRule="exact"/>
              <w:jc w:val="both"/>
              <w:rPr>
                <w:rFonts w:hint="eastAsia" w:ascii="宋体" w:hAnsi="宋体" w:eastAsia="宋体" w:cs="宋体"/>
              </w:rPr>
            </w:pPr>
          </w:p>
        </w:tc>
        <w:tc>
          <w:tcPr>
            <w:tcW w:w="1315" w:type="dxa"/>
            <w:vMerge w:val="continue"/>
            <w:tcMar>
              <w:top w:w="100" w:type="dxa"/>
              <w:bottom w:w="100" w:type="dxa"/>
            </w:tcMar>
            <w:vAlign w:val="center"/>
          </w:tcPr>
          <w:p w14:paraId="43CB2C9A">
            <w:pPr>
              <w:pStyle w:val="334"/>
              <w:spacing w:line="440" w:lineRule="exact"/>
              <w:jc w:val="both"/>
              <w:rPr>
                <w:rFonts w:hint="eastAsia" w:ascii="宋体" w:hAnsi="宋体" w:eastAsia="宋体" w:cs="宋体"/>
              </w:rPr>
            </w:pPr>
          </w:p>
        </w:tc>
        <w:tc>
          <w:tcPr>
            <w:tcW w:w="6402" w:type="dxa"/>
            <w:tcMar>
              <w:top w:w="100" w:type="dxa"/>
              <w:bottom w:w="100" w:type="dxa"/>
            </w:tcMar>
            <w:vAlign w:val="center"/>
          </w:tcPr>
          <w:p w14:paraId="08C42BE5">
            <w:pPr>
              <w:pStyle w:val="334"/>
              <w:numPr>
                <w:ilvl w:val="0"/>
                <w:numId w:val="5"/>
              </w:numPr>
              <w:spacing w:line="440" w:lineRule="exact"/>
              <w:jc w:val="both"/>
              <w:rPr>
                <w:rFonts w:ascii="宋体" w:hAnsi="宋体" w:eastAsia="宋体" w:cs="宋体"/>
              </w:rPr>
            </w:pPr>
            <w:r>
              <w:rPr>
                <w:rFonts w:ascii="宋体" w:hAnsi="宋体" w:eastAsia="宋体" w:cs="宋体"/>
              </w:rPr>
              <w:t>高级诊断：</w:t>
            </w:r>
          </w:p>
          <w:p w14:paraId="647AD900">
            <w:pPr>
              <w:pStyle w:val="334"/>
              <w:numPr>
                <w:ilvl w:val="0"/>
                <w:numId w:val="0"/>
              </w:numPr>
              <w:spacing w:line="440" w:lineRule="exact"/>
              <w:ind w:firstLine="240" w:firstLineChars="100"/>
              <w:jc w:val="both"/>
              <w:rPr>
                <w:rFonts w:hint="eastAsia" w:ascii="宋体" w:hAnsi="宋体" w:eastAsia="宋体" w:cs="宋体"/>
                <w:lang w:val="en-US" w:eastAsia="zh-CN"/>
              </w:rPr>
            </w:pPr>
            <w:r>
              <w:rPr>
                <w:rFonts w:hint="eastAsia" w:ascii="宋体" w:hAnsi="宋体" w:eastAsia="宋体" w:cs="宋体"/>
                <w:lang w:val="en-US" w:eastAsia="zh-CN"/>
              </w:rPr>
              <w:t>1.</w:t>
            </w:r>
            <w:r>
              <w:rPr>
                <w:rFonts w:ascii="宋体" w:hAnsi="宋体" w:eastAsia="宋体" w:cs="宋体"/>
              </w:rPr>
              <w:t>供应商必须能合法获得在有效期内的原厂高级故障诊断软件的诊断维修钥匙（service key）,并保证不违反国家有关知识产权</w:t>
            </w:r>
            <w:r>
              <w:rPr>
                <w:rFonts w:hint="eastAsia" w:ascii="宋体" w:hAnsi="宋体" w:eastAsia="宋体" w:cs="宋体"/>
                <w:lang w:val="en-US" w:eastAsia="zh-CN"/>
              </w:rPr>
              <w:t>的法律规定。</w:t>
            </w:r>
          </w:p>
          <w:p w14:paraId="3BE68A12">
            <w:pPr>
              <w:pStyle w:val="334"/>
              <w:numPr>
                <w:ilvl w:val="0"/>
                <w:numId w:val="0"/>
              </w:numPr>
              <w:spacing w:line="440" w:lineRule="exact"/>
              <w:ind w:firstLine="240" w:firstLineChars="100"/>
              <w:jc w:val="both"/>
              <w:rPr>
                <w:rFonts w:hint="default" w:ascii="宋体" w:hAnsi="宋体" w:eastAsia="宋体" w:cs="宋体"/>
                <w:lang w:val="en-US" w:eastAsia="zh-CN"/>
              </w:rPr>
            </w:pPr>
            <w:r>
              <w:rPr>
                <w:rFonts w:hint="eastAsia" w:ascii="宋体" w:hAnsi="宋体" w:eastAsia="宋体" w:cs="宋体"/>
                <w:lang w:val="en-US" w:eastAsia="zh-CN"/>
              </w:rPr>
              <w:t>2.投标人承诺能具备信息化报修平台，如微信报修平台，手机端报修 APP等，并有后台支持，可让采购方人员以图片和文字形式详细描述故障内容，便于用户准确进行故障报修，并实时知晓投标方维修工作的进度的故障报修。</w:t>
            </w:r>
          </w:p>
        </w:tc>
      </w:tr>
      <w:tr w14:paraId="21315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3225" w:hRule="atLeast"/>
        </w:trPr>
        <w:tc>
          <w:tcPr>
            <w:tcW w:w="805" w:type="dxa"/>
            <w:vMerge w:val="continue"/>
            <w:tcMar>
              <w:top w:w="100" w:type="dxa"/>
              <w:bottom w:w="100" w:type="dxa"/>
            </w:tcMar>
            <w:vAlign w:val="center"/>
          </w:tcPr>
          <w:p w14:paraId="5549D92E">
            <w:pPr>
              <w:pStyle w:val="334"/>
              <w:spacing w:line="440" w:lineRule="exact"/>
              <w:jc w:val="both"/>
              <w:rPr>
                <w:rFonts w:hint="eastAsia" w:ascii="宋体" w:hAnsi="宋体" w:eastAsia="宋体" w:cs="宋体"/>
              </w:rPr>
            </w:pPr>
          </w:p>
        </w:tc>
        <w:tc>
          <w:tcPr>
            <w:tcW w:w="1315" w:type="dxa"/>
            <w:vMerge w:val="continue"/>
            <w:tcMar>
              <w:top w:w="100" w:type="dxa"/>
              <w:bottom w:w="100" w:type="dxa"/>
            </w:tcMar>
            <w:vAlign w:val="center"/>
          </w:tcPr>
          <w:p w14:paraId="0D1DA71C">
            <w:pPr>
              <w:pStyle w:val="334"/>
              <w:spacing w:line="440" w:lineRule="exact"/>
              <w:jc w:val="both"/>
              <w:rPr>
                <w:rFonts w:hint="eastAsia" w:ascii="宋体" w:hAnsi="宋体" w:eastAsia="宋体" w:cs="宋体"/>
              </w:rPr>
            </w:pPr>
          </w:p>
        </w:tc>
        <w:tc>
          <w:tcPr>
            <w:tcW w:w="6402" w:type="dxa"/>
            <w:tcMar>
              <w:top w:w="100" w:type="dxa"/>
              <w:bottom w:w="100" w:type="dxa"/>
            </w:tcMar>
            <w:vAlign w:val="center"/>
          </w:tcPr>
          <w:p w14:paraId="45A09824">
            <w:pPr>
              <w:pStyle w:val="334"/>
              <w:spacing w:line="440" w:lineRule="exact"/>
              <w:jc w:val="both"/>
              <w:rPr>
                <w:rFonts w:hint="eastAsia" w:ascii="宋体" w:hAnsi="宋体" w:eastAsia="宋体" w:cs="宋体"/>
              </w:rPr>
            </w:pPr>
            <w:r>
              <w:rPr>
                <w:rFonts w:ascii="宋体" w:hAnsi="宋体" w:eastAsia="宋体" w:cs="宋体"/>
              </w:rPr>
              <w:t>1</w:t>
            </w:r>
            <w:r>
              <w:rPr>
                <w:rFonts w:hint="eastAsia" w:ascii="宋体" w:hAnsi="宋体" w:eastAsia="宋体" w:cs="宋体"/>
              </w:rPr>
              <w:t>0</w:t>
            </w:r>
            <w:r>
              <w:rPr>
                <w:rFonts w:ascii="宋体" w:hAnsi="宋体" w:eastAsia="宋体" w:cs="宋体"/>
              </w:rPr>
              <w:t>、升级(供应商必须能合法获得在有效期内的原厂授权)</w:t>
            </w:r>
          </w:p>
          <w:p w14:paraId="3CF9750B">
            <w:pPr>
              <w:pStyle w:val="334"/>
              <w:spacing w:line="440" w:lineRule="exact"/>
              <w:ind w:firstLine="240"/>
              <w:jc w:val="both"/>
              <w:rPr>
                <w:rFonts w:hint="eastAsia" w:ascii="宋体" w:hAnsi="宋体" w:eastAsia="宋体" w:cs="宋体"/>
              </w:rPr>
            </w:pPr>
            <w:r>
              <w:rPr>
                <w:rFonts w:ascii="宋体" w:hAnsi="宋体" w:eastAsia="宋体" w:cs="宋体"/>
              </w:rPr>
              <w:t>1</w:t>
            </w:r>
            <w:r>
              <w:rPr>
                <w:rFonts w:hint="eastAsia" w:ascii="宋体" w:hAnsi="宋体" w:eastAsia="宋体" w:cs="宋体"/>
              </w:rPr>
              <w:t>.</w:t>
            </w:r>
            <w:r>
              <w:rPr>
                <w:rFonts w:ascii="宋体" w:hAnsi="宋体" w:eastAsia="宋体" w:cs="宋体"/>
              </w:rPr>
              <w:t>安全升级必须在原厂规定的升级文件规定时间内完成，并在升级完成后提供原厂升级文件及工作记录。安全升级涉及备件的更换及添加的，必须免费提供原厂原包装备件以保证设备的完整性与可靠性。</w:t>
            </w:r>
          </w:p>
          <w:p w14:paraId="490C0A47">
            <w:pPr>
              <w:pStyle w:val="334"/>
              <w:spacing w:line="440" w:lineRule="exact"/>
              <w:ind w:firstLine="240"/>
              <w:jc w:val="both"/>
              <w:rPr>
                <w:rFonts w:hint="eastAsia" w:ascii="宋体" w:hAnsi="宋体" w:eastAsia="宋体" w:cs="宋体"/>
              </w:rPr>
            </w:pPr>
            <w:r>
              <w:rPr>
                <w:rFonts w:ascii="宋体" w:hAnsi="宋体" w:eastAsia="宋体" w:cs="宋体"/>
              </w:rPr>
              <w:t>2</w:t>
            </w:r>
            <w:r>
              <w:rPr>
                <w:rFonts w:hint="eastAsia" w:ascii="宋体" w:hAnsi="宋体" w:eastAsia="宋体" w:cs="宋体"/>
              </w:rPr>
              <w:t>.</w:t>
            </w:r>
            <w:r>
              <w:rPr>
                <w:rFonts w:ascii="宋体" w:hAnsi="宋体" w:eastAsia="宋体" w:cs="宋体"/>
              </w:rPr>
              <w:t>能提供免费的临床应用软件升级，并派应用专家到场进行新功能培训，升级后软件版本平台应为同类型设备同期最新。</w:t>
            </w:r>
          </w:p>
          <w:p w14:paraId="6DF3131E">
            <w:pPr>
              <w:pStyle w:val="334"/>
              <w:spacing w:line="440" w:lineRule="exact"/>
              <w:ind w:firstLine="240"/>
              <w:jc w:val="both"/>
              <w:rPr>
                <w:rFonts w:hint="eastAsia" w:ascii="宋体" w:hAnsi="宋体" w:eastAsia="宋体" w:cs="宋体"/>
              </w:rPr>
            </w:pPr>
            <w:r>
              <w:rPr>
                <w:rFonts w:ascii="宋体" w:hAnsi="宋体" w:eastAsia="宋体" w:cs="宋体"/>
              </w:rPr>
              <w:t>3</w:t>
            </w:r>
            <w:r>
              <w:rPr>
                <w:rFonts w:hint="eastAsia" w:ascii="宋体" w:hAnsi="宋体" w:eastAsia="宋体" w:cs="宋体"/>
              </w:rPr>
              <w:t>.</w:t>
            </w:r>
            <w:r>
              <w:rPr>
                <w:rFonts w:ascii="宋体" w:hAnsi="宋体" w:eastAsia="宋体" w:cs="宋体"/>
              </w:rPr>
              <w:t>合同期内免费提供主台计算机操作系统升级，并保证系统的稳定性。</w:t>
            </w:r>
          </w:p>
        </w:tc>
      </w:tr>
      <w:tr w14:paraId="1215F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5" w:type="dxa"/>
            <w:vMerge w:val="continue"/>
            <w:tcMar>
              <w:top w:w="100" w:type="dxa"/>
              <w:bottom w:w="100" w:type="dxa"/>
            </w:tcMar>
            <w:vAlign w:val="center"/>
          </w:tcPr>
          <w:p w14:paraId="7C01E966">
            <w:pPr>
              <w:pStyle w:val="334"/>
              <w:spacing w:line="440" w:lineRule="exact"/>
              <w:jc w:val="both"/>
              <w:rPr>
                <w:rFonts w:hint="eastAsia" w:ascii="宋体" w:hAnsi="宋体" w:eastAsia="宋体" w:cs="宋体"/>
              </w:rPr>
            </w:pPr>
          </w:p>
        </w:tc>
        <w:tc>
          <w:tcPr>
            <w:tcW w:w="1315" w:type="dxa"/>
            <w:vMerge w:val="continue"/>
            <w:tcMar>
              <w:top w:w="100" w:type="dxa"/>
              <w:bottom w:w="100" w:type="dxa"/>
            </w:tcMar>
            <w:vAlign w:val="center"/>
          </w:tcPr>
          <w:p w14:paraId="7063F7C5">
            <w:pPr>
              <w:pStyle w:val="334"/>
              <w:spacing w:line="440" w:lineRule="exact"/>
              <w:jc w:val="both"/>
              <w:rPr>
                <w:rFonts w:hint="eastAsia" w:ascii="宋体" w:hAnsi="宋体" w:eastAsia="宋体" w:cs="宋体"/>
              </w:rPr>
            </w:pPr>
          </w:p>
        </w:tc>
        <w:tc>
          <w:tcPr>
            <w:tcW w:w="6402" w:type="dxa"/>
            <w:tcMar>
              <w:top w:w="100" w:type="dxa"/>
              <w:bottom w:w="100" w:type="dxa"/>
            </w:tcMar>
            <w:vAlign w:val="center"/>
          </w:tcPr>
          <w:p w14:paraId="46253B60">
            <w:pPr>
              <w:pStyle w:val="334"/>
              <w:spacing w:line="440" w:lineRule="exact"/>
              <w:jc w:val="both"/>
              <w:rPr>
                <w:rFonts w:hint="eastAsia" w:ascii="宋体" w:hAnsi="宋体" w:eastAsia="宋体" w:cs="宋体"/>
              </w:rPr>
            </w:pPr>
            <w:r>
              <w:rPr>
                <w:rFonts w:hint="eastAsia" w:ascii="宋体" w:hAnsi="宋体" w:eastAsia="宋体" w:cs="宋体"/>
              </w:rPr>
              <w:t>11．</w:t>
            </w:r>
            <w:r>
              <w:rPr>
                <w:rFonts w:ascii="宋体" w:hAnsi="宋体" w:eastAsia="宋体" w:cs="宋体"/>
              </w:rPr>
              <w:t>维保计划记录存档</w:t>
            </w:r>
            <w:r>
              <w:rPr>
                <w:rFonts w:hint="eastAsia" w:ascii="宋体" w:hAnsi="宋体" w:eastAsia="宋体" w:cs="宋体"/>
              </w:rPr>
              <w:t>：</w:t>
            </w:r>
          </w:p>
          <w:p w14:paraId="1D63A0A1">
            <w:pPr>
              <w:pStyle w:val="334"/>
              <w:spacing w:line="440" w:lineRule="exact"/>
              <w:ind w:firstLine="480"/>
              <w:jc w:val="both"/>
              <w:rPr>
                <w:rFonts w:hint="eastAsia" w:ascii="宋体" w:hAnsi="宋体" w:eastAsia="宋体" w:cs="宋体"/>
              </w:rPr>
            </w:pPr>
            <w:r>
              <w:rPr>
                <w:rFonts w:ascii="宋体" w:hAnsi="宋体" w:eastAsia="宋体" w:cs="宋体"/>
              </w:rPr>
              <w:t>对设备的每次维护、保养情况进行记录，并做好档案材料管理</w:t>
            </w:r>
            <w:r>
              <w:rPr>
                <w:rFonts w:hint="eastAsia" w:ascii="宋体" w:hAnsi="宋体" w:eastAsia="宋体" w:cs="宋体"/>
              </w:rPr>
              <w:t>医院可以调取</w:t>
            </w:r>
            <w:r>
              <w:rPr>
                <w:rFonts w:ascii="宋体" w:hAnsi="宋体" w:eastAsia="宋体" w:cs="宋体"/>
              </w:rPr>
              <w:t>；</w:t>
            </w:r>
          </w:p>
        </w:tc>
      </w:tr>
      <w:tr w14:paraId="16FFA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5" w:type="dxa"/>
            <w:vMerge w:val="continue"/>
            <w:tcMar>
              <w:top w:w="100" w:type="dxa"/>
              <w:bottom w:w="100" w:type="dxa"/>
            </w:tcMar>
            <w:vAlign w:val="center"/>
          </w:tcPr>
          <w:p w14:paraId="6EB042BD">
            <w:pPr>
              <w:pStyle w:val="334"/>
              <w:spacing w:line="440" w:lineRule="exact"/>
              <w:jc w:val="both"/>
              <w:rPr>
                <w:rFonts w:hint="eastAsia" w:ascii="宋体" w:hAnsi="宋体" w:eastAsia="宋体" w:cs="宋体"/>
                <w:strike/>
              </w:rPr>
            </w:pPr>
          </w:p>
        </w:tc>
        <w:tc>
          <w:tcPr>
            <w:tcW w:w="1315" w:type="dxa"/>
            <w:vMerge w:val="continue"/>
            <w:tcMar>
              <w:top w:w="100" w:type="dxa"/>
              <w:bottom w:w="100" w:type="dxa"/>
            </w:tcMar>
            <w:vAlign w:val="center"/>
          </w:tcPr>
          <w:p w14:paraId="7AFD3029">
            <w:pPr>
              <w:pStyle w:val="334"/>
              <w:spacing w:line="440" w:lineRule="exact"/>
              <w:jc w:val="both"/>
              <w:rPr>
                <w:rFonts w:hint="eastAsia" w:ascii="宋体" w:hAnsi="宋体" w:eastAsia="宋体" w:cs="宋体"/>
              </w:rPr>
            </w:pPr>
          </w:p>
        </w:tc>
        <w:tc>
          <w:tcPr>
            <w:tcW w:w="6402" w:type="dxa"/>
            <w:tcMar>
              <w:top w:w="100" w:type="dxa"/>
              <w:bottom w:w="100" w:type="dxa"/>
            </w:tcMar>
            <w:vAlign w:val="center"/>
          </w:tcPr>
          <w:p w14:paraId="5E2D9D7D">
            <w:pPr>
              <w:pStyle w:val="334"/>
              <w:spacing w:line="440" w:lineRule="exact"/>
              <w:jc w:val="both"/>
              <w:rPr>
                <w:rFonts w:hint="eastAsia" w:ascii="宋体" w:hAnsi="宋体" w:eastAsia="宋体" w:cs="宋体"/>
              </w:rPr>
            </w:pPr>
            <w:r>
              <w:rPr>
                <w:rFonts w:ascii="宋体" w:hAnsi="宋体" w:eastAsia="宋体" w:cs="宋体"/>
              </w:rPr>
              <w:t>1</w:t>
            </w:r>
            <w:r>
              <w:rPr>
                <w:rFonts w:hint="eastAsia" w:ascii="宋体" w:hAnsi="宋体" w:eastAsia="宋体" w:cs="宋体"/>
              </w:rPr>
              <w:t>2</w:t>
            </w:r>
            <w:r>
              <w:rPr>
                <w:rFonts w:ascii="宋体" w:hAnsi="宋体" w:eastAsia="宋体" w:cs="宋体"/>
              </w:rPr>
              <w:t>．临床应用及维修技术指导：在服务期内，需提供由设备生产厂家提供的相关临床应用的技术指导，维修技术人员的维修技术指导，便于采购人日常更好的使用设备；</w:t>
            </w:r>
          </w:p>
        </w:tc>
      </w:tr>
      <w:tr w14:paraId="4F433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5" w:type="dxa"/>
            <w:vMerge w:val="continue"/>
            <w:tcMar>
              <w:top w:w="100" w:type="dxa"/>
              <w:bottom w:w="100" w:type="dxa"/>
            </w:tcMar>
            <w:vAlign w:val="center"/>
          </w:tcPr>
          <w:p w14:paraId="6AE23BE4">
            <w:pPr>
              <w:pStyle w:val="334"/>
              <w:spacing w:line="440" w:lineRule="exact"/>
              <w:jc w:val="both"/>
              <w:rPr>
                <w:rFonts w:hint="eastAsia" w:ascii="宋体" w:hAnsi="宋体" w:eastAsia="宋体" w:cs="宋体"/>
              </w:rPr>
            </w:pPr>
          </w:p>
        </w:tc>
        <w:tc>
          <w:tcPr>
            <w:tcW w:w="1315" w:type="dxa"/>
            <w:vMerge w:val="continue"/>
            <w:tcMar>
              <w:top w:w="100" w:type="dxa"/>
              <w:bottom w:w="100" w:type="dxa"/>
            </w:tcMar>
            <w:vAlign w:val="center"/>
          </w:tcPr>
          <w:p w14:paraId="04208701">
            <w:pPr>
              <w:pStyle w:val="334"/>
              <w:spacing w:line="440" w:lineRule="exact"/>
              <w:jc w:val="both"/>
              <w:rPr>
                <w:rFonts w:hint="eastAsia" w:ascii="宋体" w:hAnsi="宋体" w:eastAsia="宋体" w:cs="宋体"/>
              </w:rPr>
            </w:pPr>
          </w:p>
        </w:tc>
        <w:tc>
          <w:tcPr>
            <w:tcW w:w="6402" w:type="dxa"/>
            <w:tcMar>
              <w:top w:w="100" w:type="dxa"/>
              <w:bottom w:w="100" w:type="dxa"/>
            </w:tcMar>
            <w:vAlign w:val="center"/>
          </w:tcPr>
          <w:p w14:paraId="6EE7D780">
            <w:pPr>
              <w:pStyle w:val="334"/>
              <w:spacing w:line="440" w:lineRule="exact"/>
              <w:jc w:val="both"/>
              <w:rPr>
                <w:rFonts w:hint="eastAsia" w:ascii="宋体" w:hAnsi="宋体" w:eastAsia="宋体" w:cs="宋体"/>
              </w:rPr>
            </w:pPr>
            <w:r>
              <w:rPr>
                <w:rFonts w:ascii="宋体" w:hAnsi="宋体" w:eastAsia="宋体" w:cs="宋体"/>
              </w:rPr>
              <w:t>1</w:t>
            </w:r>
            <w:r>
              <w:rPr>
                <w:rFonts w:hint="eastAsia" w:ascii="宋体" w:hAnsi="宋体" w:eastAsia="宋体" w:cs="宋体"/>
              </w:rPr>
              <w:t>3</w:t>
            </w:r>
            <w:r>
              <w:rPr>
                <w:rFonts w:ascii="宋体" w:hAnsi="宋体" w:eastAsia="宋体" w:cs="宋体"/>
              </w:rPr>
              <w:t>．投标人要按照行业要求严格管理，健全各项管理制度、岗位职责，加强监控力度，使医院设备维保工作规范、安全、稳定的进行；</w:t>
            </w:r>
          </w:p>
        </w:tc>
      </w:tr>
      <w:tr w14:paraId="20202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5" w:type="dxa"/>
            <w:vMerge w:val="continue"/>
            <w:tcMar>
              <w:top w:w="100" w:type="dxa"/>
              <w:bottom w:w="100" w:type="dxa"/>
            </w:tcMar>
            <w:vAlign w:val="center"/>
          </w:tcPr>
          <w:p w14:paraId="604D5425">
            <w:pPr>
              <w:pStyle w:val="334"/>
              <w:spacing w:line="440" w:lineRule="exact"/>
              <w:jc w:val="both"/>
              <w:rPr>
                <w:rFonts w:hint="eastAsia" w:ascii="宋体" w:hAnsi="宋体" w:eastAsia="宋体" w:cs="宋体"/>
              </w:rPr>
            </w:pPr>
          </w:p>
        </w:tc>
        <w:tc>
          <w:tcPr>
            <w:tcW w:w="1315" w:type="dxa"/>
            <w:vMerge w:val="continue"/>
            <w:tcMar>
              <w:top w:w="100" w:type="dxa"/>
              <w:bottom w:w="100" w:type="dxa"/>
            </w:tcMar>
            <w:vAlign w:val="center"/>
          </w:tcPr>
          <w:p w14:paraId="11A1E7B6">
            <w:pPr>
              <w:pStyle w:val="334"/>
              <w:spacing w:line="440" w:lineRule="exact"/>
              <w:jc w:val="both"/>
              <w:rPr>
                <w:rFonts w:hint="eastAsia" w:ascii="宋体" w:hAnsi="宋体" w:eastAsia="宋体" w:cs="宋体"/>
              </w:rPr>
            </w:pPr>
          </w:p>
        </w:tc>
        <w:tc>
          <w:tcPr>
            <w:tcW w:w="6402" w:type="dxa"/>
            <w:tcMar>
              <w:top w:w="100" w:type="dxa"/>
              <w:bottom w:w="100" w:type="dxa"/>
            </w:tcMar>
            <w:vAlign w:val="center"/>
          </w:tcPr>
          <w:p w14:paraId="0B42E38C">
            <w:pPr>
              <w:pStyle w:val="334"/>
              <w:spacing w:line="440" w:lineRule="exact"/>
              <w:jc w:val="both"/>
              <w:rPr>
                <w:rFonts w:hint="eastAsia" w:ascii="宋体" w:hAnsi="宋体" w:eastAsia="宋体" w:cs="宋体"/>
              </w:rPr>
            </w:pPr>
            <w:r>
              <w:rPr>
                <w:rFonts w:ascii="宋体" w:hAnsi="宋体" w:eastAsia="宋体" w:cs="宋体"/>
              </w:rPr>
              <w:t>1</w:t>
            </w:r>
            <w:r>
              <w:rPr>
                <w:rFonts w:hint="eastAsia" w:ascii="宋体" w:hAnsi="宋体" w:eastAsia="宋体" w:cs="宋体"/>
              </w:rPr>
              <w:t>4</w:t>
            </w:r>
            <w:r>
              <w:rPr>
                <w:rFonts w:ascii="宋体" w:hAnsi="宋体" w:eastAsia="宋体" w:cs="宋体"/>
              </w:rPr>
              <w:t>．中标人在维保作业工程中应严格遵守设备操作手册和安全规范要求，做到操作规范，能安全有效的做好维保工作，确保设备的正常运行；</w:t>
            </w:r>
          </w:p>
        </w:tc>
      </w:tr>
      <w:tr w14:paraId="6BE18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5" w:type="dxa"/>
            <w:vMerge w:val="continue"/>
            <w:tcMar>
              <w:top w:w="100" w:type="dxa"/>
              <w:bottom w:w="100" w:type="dxa"/>
            </w:tcMar>
            <w:vAlign w:val="center"/>
          </w:tcPr>
          <w:p w14:paraId="0DAC75C0">
            <w:pPr>
              <w:pStyle w:val="334"/>
              <w:spacing w:line="440" w:lineRule="exact"/>
              <w:jc w:val="both"/>
              <w:rPr>
                <w:rFonts w:hint="eastAsia" w:ascii="宋体" w:hAnsi="宋体" w:eastAsia="宋体" w:cs="宋体"/>
              </w:rPr>
            </w:pPr>
          </w:p>
        </w:tc>
        <w:tc>
          <w:tcPr>
            <w:tcW w:w="1315" w:type="dxa"/>
            <w:vMerge w:val="continue"/>
            <w:tcMar>
              <w:top w:w="100" w:type="dxa"/>
              <w:bottom w:w="100" w:type="dxa"/>
            </w:tcMar>
            <w:vAlign w:val="center"/>
          </w:tcPr>
          <w:p w14:paraId="2C2E0FBB">
            <w:pPr>
              <w:pStyle w:val="334"/>
              <w:spacing w:line="440" w:lineRule="exact"/>
              <w:jc w:val="both"/>
              <w:rPr>
                <w:rFonts w:hint="eastAsia" w:ascii="宋体" w:hAnsi="宋体" w:eastAsia="宋体" w:cs="宋体"/>
              </w:rPr>
            </w:pPr>
          </w:p>
        </w:tc>
        <w:tc>
          <w:tcPr>
            <w:tcW w:w="6402" w:type="dxa"/>
            <w:tcMar>
              <w:top w:w="100" w:type="dxa"/>
              <w:bottom w:w="100" w:type="dxa"/>
            </w:tcMar>
            <w:vAlign w:val="center"/>
          </w:tcPr>
          <w:p w14:paraId="7E1E4F9F">
            <w:pPr>
              <w:pStyle w:val="334"/>
              <w:spacing w:line="440" w:lineRule="exact"/>
              <w:jc w:val="both"/>
              <w:rPr>
                <w:rFonts w:hint="eastAsia" w:ascii="宋体" w:hAnsi="宋体" w:eastAsia="宋体" w:cs="宋体"/>
              </w:rPr>
            </w:pPr>
            <w:r>
              <w:rPr>
                <w:rFonts w:ascii="宋体" w:hAnsi="宋体" w:eastAsia="宋体" w:cs="宋体"/>
              </w:rPr>
              <w:t>1</w:t>
            </w:r>
            <w:r>
              <w:rPr>
                <w:rFonts w:hint="eastAsia" w:ascii="宋体" w:hAnsi="宋体" w:eastAsia="宋体" w:cs="宋体"/>
              </w:rPr>
              <w:t>5</w:t>
            </w:r>
            <w:r>
              <w:rPr>
                <w:rFonts w:ascii="宋体" w:hAnsi="宋体" w:eastAsia="宋体" w:cs="宋体"/>
              </w:rPr>
              <w:t>．遵守国家及卫生行政部门的相关法律法规，遵守医院的各项规章制度，服从医院的工作安排，完成临时交办的工作任务；</w:t>
            </w:r>
          </w:p>
        </w:tc>
      </w:tr>
      <w:tr w14:paraId="7A4B6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5" w:type="dxa"/>
            <w:vMerge w:val="continue"/>
            <w:tcMar>
              <w:top w:w="100" w:type="dxa"/>
              <w:bottom w:w="100" w:type="dxa"/>
            </w:tcMar>
            <w:vAlign w:val="center"/>
          </w:tcPr>
          <w:p w14:paraId="46EC58ED">
            <w:pPr>
              <w:pStyle w:val="334"/>
              <w:spacing w:line="440" w:lineRule="exact"/>
              <w:jc w:val="both"/>
              <w:rPr>
                <w:rFonts w:hint="eastAsia" w:ascii="宋体" w:hAnsi="宋体" w:eastAsia="宋体" w:cs="宋体"/>
              </w:rPr>
            </w:pPr>
          </w:p>
        </w:tc>
        <w:tc>
          <w:tcPr>
            <w:tcW w:w="1315" w:type="dxa"/>
            <w:vMerge w:val="continue"/>
            <w:tcMar>
              <w:top w:w="100" w:type="dxa"/>
              <w:bottom w:w="100" w:type="dxa"/>
            </w:tcMar>
            <w:vAlign w:val="center"/>
          </w:tcPr>
          <w:p w14:paraId="741C6106">
            <w:pPr>
              <w:pStyle w:val="334"/>
              <w:spacing w:line="440" w:lineRule="exact"/>
              <w:jc w:val="both"/>
              <w:rPr>
                <w:rFonts w:hint="eastAsia" w:ascii="宋体" w:hAnsi="宋体" w:eastAsia="宋体" w:cs="宋体"/>
              </w:rPr>
            </w:pPr>
          </w:p>
        </w:tc>
        <w:tc>
          <w:tcPr>
            <w:tcW w:w="6402" w:type="dxa"/>
            <w:tcMar>
              <w:top w:w="100" w:type="dxa"/>
              <w:bottom w:w="100" w:type="dxa"/>
            </w:tcMar>
            <w:vAlign w:val="center"/>
          </w:tcPr>
          <w:p w14:paraId="7FC316B7">
            <w:pPr>
              <w:pStyle w:val="334"/>
              <w:spacing w:line="440" w:lineRule="exact"/>
              <w:jc w:val="both"/>
              <w:rPr>
                <w:rFonts w:hint="eastAsia" w:ascii="宋体" w:hAnsi="宋体" w:eastAsia="宋体" w:cs="宋体"/>
              </w:rPr>
            </w:pPr>
            <w:r>
              <w:rPr>
                <w:rFonts w:ascii="宋体" w:hAnsi="宋体" w:eastAsia="宋体" w:cs="宋体"/>
              </w:rPr>
              <w:t>1</w:t>
            </w:r>
            <w:r>
              <w:rPr>
                <w:rFonts w:hint="eastAsia" w:ascii="宋体" w:hAnsi="宋体" w:eastAsia="宋体" w:cs="宋体"/>
              </w:rPr>
              <w:t>6</w:t>
            </w:r>
            <w:r>
              <w:rPr>
                <w:rFonts w:ascii="宋体" w:hAnsi="宋体" w:eastAsia="宋体" w:cs="宋体"/>
              </w:rPr>
              <w:t>．投标人需针对项目制定满足采购人需求的服务方案，在投标时提供以下服务方案文件：</w:t>
            </w:r>
          </w:p>
        </w:tc>
      </w:tr>
      <w:tr w14:paraId="14EDE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5" w:type="dxa"/>
            <w:vMerge w:val="continue"/>
            <w:tcMar>
              <w:top w:w="100" w:type="dxa"/>
              <w:bottom w:w="100" w:type="dxa"/>
            </w:tcMar>
            <w:vAlign w:val="center"/>
          </w:tcPr>
          <w:p w14:paraId="3AD2871D">
            <w:pPr>
              <w:pStyle w:val="334"/>
              <w:spacing w:line="440" w:lineRule="exact"/>
              <w:jc w:val="both"/>
              <w:rPr>
                <w:rFonts w:hint="eastAsia" w:ascii="宋体" w:hAnsi="宋体" w:eastAsia="宋体" w:cs="宋体"/>
              </w:rPr>
            </w:pPr>
          </w:p>
        </w:tc>
        <w:tc>
          <w:tcPr>
            <w:tcW w:w="1315" w:type="dxa"/>
            <w:vMerge w:val="continue"/>
            <w:tcMar>
              <w:top w:w="100" w:type="dxa"/>
              <w:bottom w:w="100" w:type="dxa"/>
            </w:tcMar>
            <w:vAlign w:val="center"/>
          </w:tcPr>
          <w:p w14:paraId="39963DF9">
            <w:pPr>
              <w:pStyle w:val="334"/>
              <w:spacing w:line="440" w:lineRule="exact"/>
              <w:jc w:val="both"/>
              <w:rPr>
                <w:rFonts w:hint="eastAsia" w:ascii="宋体" w:hAnsi="宋体" w:eastAsia="宋体" w:cs="宋体"/>
              </w:rPr>
            </w:pPr>
          </w:p>
        </w:tc>
        <w:tc>
          <w:tcPr>
            <w:tcW w:w="6402" w:type="dxa"/>
            <w:tcMar>
              <w:top w:w="100" w:type="dxa"/>
              <w:bottom w:w="100" w:type="dxa"/>
            </w:tcMar>
            <w:vAlign w:val="center"/>
          </w:tcPr>
          <w:p w14:paraId="53D45C83">
            <w:pPr>
              <w:pStyle w:val="334"/>
              <w:spacing w:line="440" w:lineRule="exact"/>
              <w:jc w:val="both"/>
              <w:rPr>
                <w:rFonts w:hint="eastAsia" w:ascii="宋体" w:hAnsi="宋体" w:eastAsia="宋体" w:cs="宋体"/>
              </w:rPr>
            </w:pPr>
            <w:r>
              <w:rPr>
                <w:rFonts w:ascii="宋体" w:hAnsi="宋体" w:eastAsia="宋体" w:cs="宋体"/>
              </w:rPr>
              <w:t>（1）针对本项目的维保管理制度与操作规范方案；</w:t>
            </w:r>
          </w:p>
        </w:tc>
      </w:tr>
      <w:tr w14:paraId="18E30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5" w:type="dxa"/>
            <w:vMerge w:val="continue"/>
            <w:tcMar>
              <w:top w:w="100" w:type="dxa"/>
              <w:bottom w:w="100" w:type="dxa"/>
            </w:tcMar>
            <w:vAlign w:val="center"/>
          </w:tcPr>
          <w:p w14:paraId="0691F01A">
            <w:pPr>
              <w:pStyle w:val="334"/>
              <w:spacing w:line="440" w:lineRule="exact"/>
              <w:jc w:val="both"/>
              <w:rPr>
                <w:rFonts w:hint="eastAsia" w:ascii="宋体" w:hAnsi="宋体" w:eastAsia="宋体" w:cs="宋体"/>
              </w:rPr>
            </w:pPr>
          </w:p>
        </w:tc>
        <w:tc>
          <w:tcPr>
            <w:tcW w:w="1315" w:type="dxa"/>
            <w:vMerge w:val="continue"/>
            <w:tcMar>
              <w:top w:w="100" w:type="dxa"/>
              <w:bottom w:w="100" w:type="dxa"/>
            </w:tcMar>
            <w:vAlign w:val="center"/>
          </w:tcPr>
          <w:p w14:paraId="27B4C507">
            <w:pPr>
              <w:pStyle w:val="334"/>
              <w:spacing w:line="440" w:lineRule="exact"/>
              <w:jc w:val="both"/>
              <w:rPr>
                <w:rFonts w:hint="eastAsia" w:ascii="宋体" w:hAnsi="宋体" w:eastAsia="宋体" w:cs="宋体"/>
              </w:rPr>
            </w:pPr>
          </w:p>
        </w:tc>
        <w:tc>
          <w:tcPr>
            <w:tcW w:w="6402" w:type="dxa"/>
            <w:tcMar>
              <w:top w:w="100" w:type="dxa"/>
              <w:bottom w:w="100" w:type="dxa"/>
            </w:tcMar>
            <w:vAlign w:val="center"/>
          </w:tcPr>
          <w:p w14:paraId="5CF75E21">
            <w:pPr>
              <w:pStyle w:val="334"/>
              <w:spacing w:line="440" w:lineRule="exact"/>
              <w:jc w:val="both"/>
              <w:rPr>
                <w:rFonts w:hint="eastAsia" w:ascii="宋体" w:hAnsi="宋体" w:eastAsia="宋体" w:cs="宋体"/>
              </w:rPr>
            </w:pPr>
            <w:r>
              <w:rPr>
                <w:rFonts w:ascii="宋体" w:hAnsi="宋体" w:eastAsia="宋体" w:cs="宋体"/>
              </w:rPr>
              <w:t>（2）针对本项目制定维修保养工作流程和维护保养计划方案；</w:t>
            </w:r>
          </w:p>
        </w:tc>
      </w:tr>
      <w:tr w14:paraId="621F5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5" w:type="dxa"/>
            <w:vMerge w:val="continue"/>
            <w:tcMar>
              <w:top w:w="100" w:type="dxa"/>
              <w:bottom w:w="100" w:type="dxa"/>
            </w:tcMar>
            <w:vAlign w:val="center"/>
          </w:tcPr>
          <w:p w14:paraId="58B13DAA">
            <w:pPr>
              <w:pStyle w:val="334"/>
              <w:spacing w:line="440" w:lineRule="exact"/>
              <w:jc w:val="both"/>
              <w:rPr>
                <w:rFonts w:hint="eastAsia" w:ascii="宋体" w:hAnsi="宋体" w:eastAsia="宋体" w:cs="宋体"/>
              </w:rPr>
            </w:pPr>
          </w:p>
        </w:tc>
        <w:tc>
          <w:tcPr>
            <w:tcW w:w="1315" w:type="dxa"/>
            <w:vMerge w:val="continue"/>
            <w:tcMar>
              <w:top w:w="100" w:type="dxa"/>
              <w:bottom w:w="100" w:type="dxa"/>
            </w:tcMar>
            <w:vAlign w:val="center"/>
          </w:tcPr>
          <w:p w14:paraId="22978C2F">
            <w:pPr>
              <w:pStyle w:val="334"/>
              <w:spacing w:line="440" w:lineRule="exact"/>
              <w:jc w:val="both"/>
              <w:rPr>
                <w:rFonts w:hint="eastAsia" w:ascii="宋体" w:hAnsi="宋体" w:eastAsia="宋体" w:cs="宋体"/>
              </w:rPr>
            </w:pPr>
          </w:p>
        </w:tc>
        <w:tc>
          <w:tcPr>
            <w:tcW w:w="6402" w:type="dxa"/>
            <w:tcMar>
              <w:top w:w="100" w:type="dxa"/>
              <w:bottom w:w="100" w:type="dxa"/>
            </w:tcMar>
            <w:vAlign w:val="center"/>
          </w:tcPr>
          <w:p w14:paraId="2AE9B05B">
            <w:pPr>
              <w:pStyle w:val="334"/>
              <w:spacing w:line="440" w:lineRule="exact"/>
              <w:jc w:val="both"/>
              <w:rPr>
                <w:rFonts w:hint="eastAsia" w:ascii="宋体" w:hAnsi="宋体" w:eastAsia="宋体" w:cs="宋体"/>
              </w:rPr>
            </w:pPr>
            <w:r>
              <w:rPr>
                <w:rFonts w:ascii="宋体" w:hAnsi="宋体" w:eastAsia="宋体" w:cs="宋体"/>
              </w:rPr>
              <w:t>（3）针对本项目制定应急响应方案；</w:t>
            </w:r>
          </w:p>
        </w:tc>
      </w:tr>
      <w:tr w14:paraId="4A33A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5" w:type="dxa"/>
            <w:vMerge w:val="continue"/>
            <w:tcMar>
              <w:top w:w="100" w:type="dxa"/>
              <w:bottom w:w="100" w:type="dxa"/>
            </w:tcMar>
            <w:vAlign w:val="center"/>
          </w:tcPr>
          <w:p w14:paraId="68965CC3">
            <w:pPr>
              <w:pStyle w:val="334"/>
              <w:spacing w:line="440" w:lineRule="exact"/>
              <w:jc w:val="both"/>
              <w:rPr>
                <w:rFonts w:hint="eastAsia" w:ascii="宋体" w:hAnsi="宋体" w:eastAsia="宋体" w:cs="宋体"/>
              </w:rPr>
            </w:pPr>
          </w:p>
        </w:tc>
        <w:tc>
          <w:tcPr>
            <w:tcW w:w="1315" w:type="dxa"/>
            <w:vMerge w:val="continue"/>
            <w:tcMar>
              <w:top w:w="100" w:type="dxa"/>
              <w:bottom w:w="100" w:type="dxa"/>
            </w:tcMar>
            <w:vAlign w:val="center"/>
          </w:tcPr>
          <w:p w14:paraId="6B71935B">
            <w:pPr>
              <w:pStyle w:val="334"/>
              <w:spacing w:line="440" w:lineRule="exact"/>
              <w:jc w:val="both"/>
              <w:rPr>
                <w:rFonts w:hint="eastAsia" w:ascii="宋体" w:hAnsi="宋体" w:eastAsia="宋体" w:cs="宋体"/>
              </w:rPr>
            </w:pPr>
          </w:p>
        </w:tc>
        <w:tc>
          <w:tcPr>
            <w:tcW w:w="6402" w:type="dxa"/>
            <w:tcMar>
              <w:top w:w="100" w:type="dxa"/>
              <w:bottom w:w="100" w:type="dxa"/>
            </w:tcMar>
            <w:vAlign w:val="center"/>
          </w:tcPr>
          <w:p w14:paraId="7F2F072F">
            <w:pPr>
              <w:pStyle w:val="334"/>
              <w:spacing w:line="440" w:lineRule="exact"/>
              <w:jc w:val="both"/>
              <w:rPr>
                <w:rFonts w:hint="eastAsia" w:ascii="宋体" w:hAnsi="宋体" w:eastAsia="宋体" w:cs="宋体"/>
              </w:rPr>
            </w:pPr>
            <w:r>
              <w:rPr>
                <w:rFonts w:ascii="宋体" w:hAnsi="宋体" w:eastAsia="宋体" w:cs="宋体"/>
              </w:rPr>
              <w:t>（4）针对本项目制定备件保障及运输方案</w:t>
            </w:r>
          </w:p>
        </w:tc>
      </w:tr>
      <w:tr w14:paraId="7DCD1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5" w:type="dxa"/>
            <w:vMerge w:val="continue"/>
            <w:tcMar>
              <w:top w:w="100" w:type="dxa"/>
              <w:bottom w:w="100" w:type="dxa"/>
            </w:tcMar>
            <w:vAlign w:val="center"/>
          </w:tcPr>
          <w:p w14:paraId="69AB1B2D">
            <w:pPr>
              <w:pStyle w:val="334"/>
              <w:spacing w:line="440" w:lineRule="exact"/>
              <w:jc w:val="both"/>
              <w:rPr>
                <w:rFonts w:hint="eastAsia" w:ascii="宋体" w:hAnsi="宋体" w:eastAsia="宋体" w:cs="宋体"/>
              </w:rPr>
            </w:pPr>
          </w:p>
        </w:tc>
        <w:tc>
          <w:tcPr>
            <w:tcW w:w="1315" w:type="dxa"/>
            <w:vMerge w:val="continue"/>
            <w:tcMar>
              <w:top w:w="100" w:type="dxa"/>
              <w:bottom w:w="100" w:type="dxa"/>
            </w:tcMar>
            <w:vAlign w:val="center"/>
          </w:tcPr>
          <w:p w14:paraId="643E6F5A">
            <w:pPr>
              <w:pStyle w:val="334"/>
              <w:spacing w:line="440" w:lineRule="exact"/>
              <w:jc w:val="both"/>
              <w:rPr>
                <w:rFonts w:hint="eastAsia" w:ascii="宋体" w:hAnsi="宋体" w:eastAsia="宋体" w:cs="宋体"/>
              </w:rPr>
            </w:pPr>
          </w:p>
        </w:tc>
        <w:tc>
          <w:tcPr>
            <w:tcW w:w="6402" w:type="dxa"/>
            <w:tcMar>
              <w:top w:w="100" w:type="dxa"/>
              <w:bottom w:w="100" w:type="dxa"/>
            </w:tcMar>
            <w:vAlign w:val="center"/>
          </w:tcPr>
          <w:p w14:paraId="4A42C003">
            <w:pPr>
              <w:pStyle w:val="334"/>
              <w:spacing w:line="440" w:lineRule="exact"/>
              <w:jc w:val="both"/>
              <w:rPr>
                <w:rFonts w:hint="eastAsia" w:ascii="宋体" w:hAnsi="宋体" w:eastAsia="宋体" w:cs="宋体"/>
              </w:rPr>
            </w:pPr>
            <w:r>
              <w:rPr>
                <w:rFonts w:ascii="宋体" w:hAnsi="宋体" w:eastAsia="宋体" w:cs="宋体"/>
              </w:rPr>
              <w:t>（6）针对本项目制定维保实施过程中的质量及安全管理方案；</w:t>
            </w:r>
          </w:p>
        </w:tc>
      </w:tr>
      <w:tr w14:paraId="5BCE5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5" w:type="dxa"/>
            <w:vMerge w:val="continue"/>
            <w:tcMar>
              <w:top w:w="100" w:type="dxa"/>
              <w:bottom w:w="100" w:type="dxa"/>
            </w:tcMar>
            <w:vAlign w:val="center"/>
          </w:tcPr>
          <w:p w14:paraId="4010E5A4">
            <w:pPr>
              <w:pStyle w:val="334"/>
              <w:spacing w:line="440" w:lineRule="exact"/>
              <w:jc w:val="both"/>
              <w:rPr>
                <w:rFonts w:hint="eastAsia" w:ascii="宋体" w:hAnsi="宋体" w:eastAsia="宋体" w:cs="宋体"/>
              </w:rPr>
            </w:pPr>
          </w:p>
        </w:tc>
        <w:tc>
          <w:tcPr>
            <w:tcW w:w="1315" w:type="dxa"/>
            <w:vMerge w:val="continue"/>
            <w:tcMar>
              <w:top w:w="100" w:type="dxa"/>
              <w:bottom w:w="100" w:type="dxa"/>
            </w:tcMar>
            <w:vAlign w:val="center"/>
          </w:tcPr>
          <w:p w14:paraId="6346902E">
            <w:pPr>
              <w:pStyle w:val="334"/>
              <w:spacing w:line="440" w:lineRule="exact"/>
              <w:jc w:val="both"/>
              <w:rPr>
                <w:rFonts w:hint="eastAsia" w:ascii="宋体" w:hAnsi="宋体" w:eastAsia="宋体" w:cs="宋体"/>
              </w:rPr>
            </w:pPr>
          </w:p>
        </w:tc>
        <w:tc>
          <w:tcPr>
            <w:tcW w:w="6402" w:type="dxa"/>
            <w:tcMar>
              <w:top w:w="100" w:type="dxa"/>
              <w:bottom w:w="100" w:type="dxa"/>
            </w:tcMar>
            <w:vAlign w:val="center"/>
          </w:tcPr>
          <w:p w14:paraId="2516191E">
            <w:pPr>
              <w:pStyle w:val="334"/>
              <w:spacing w:line="440" w:lineRule="exact"/>
              <w:jc w:val="both"/>
              <w:rPr>
                <w:rFonts w:hint="eastAsia" w:ascii="宋体" w:hAnsi="宋体" w:eastAsia="宋体" w:cs="宋体"/>
              </w:rPr>
            </w:pPr>
            <w:r>
              <w:rPr>
                <w:rFonts w:ascii="宋体" w:hAnsi="宋体" w:eastAsia="宋体" w:cs="宋体"/>
              </w:rPr>
              <w:t>（7）针对本项目的增值服务或优惠措施；</w:t>
            </w:r>
          </w:p>
        </w:tc>
      </w:tr>
    </w:tbl>
    <w:p w14:paraId="19E21BC2">
      <w:pPr>
        <w:spacing w:line="500" w:lineRule="exact"/>
        <w:ind w:firstLine="482" w:firstLineChars="200"/>
        <w:outlineLvl w:val="1"/>
        <w:rPr>
          <w:rFonts w:ascii="宋体" w:hAnsi="宋体"/>
          <w:b/>
          <w:sz w:val="24"/>
        </w:rPr>
      </w:pPr>
      <w:r>
        <w:rPr>
          <w:rFonts w:hint="eastAsia" w:ascii="宋体" w:hAnsi="宋体"/>
          <w:b/>
          <w:sz w:val="24"/>
        </w:rPr>
        <w:t>三、质量标准或者考核标准</w:t>
      </w:r>
    </w:p>
    <w:p w14:paraId="4C57D92C">
      <w:pPr>
        <w:spacing w:line="360" w:lineRule="auto"/>
        <w:ind w:firstLine="480" w:firstLineChars="200"/>
        <w:rPr>
          <w:rFonts w:ascii="宋体" w:hAnsi="宋体"/>
          <w:bCs/>
          <w:sz w:val="24"/>
        </w:rPr>
      </w:pPr>
      <w:r>
        <w:rPr>
          <w:rFonts w:hint="eastAsia" w:ascii="宋体" w:hAnsi="宋体"/>
          <w:bCs/>
          <w:sz w:val="24"/>
        </w:rPr>
        <w:t>1、维保方应整理保管好各种维修资料，重要资料交付采购人保存一份（如图纸、参数数值表等）。</w:t>
      </w:r>
    </w:p>
    <w:p w14:paraId="317EB157">
      <w:pPr>
        <w:spacing w:line="360" w:lineRule="auto"/>
        <w:ind w:firstLine="480" w:firstLineChars="200"/>
        <w:rPr>
          <w:rFonts w:ascii="宋体" w:hAnsi="宋体"/>
          <w:bCs/>
          <w:sz w:val="24"/>
        </w:rPr>
      </w:pPr>
      <w:r>
        <w:rPr>
          <w:rFonts w:hint="eastAsia" w:ascii="宋体" w:hAnsi="宋体"/>
          <w:bCs/>
          <w:sz w:val="24"/>
        </w:rPr>
        <w:t>2、维修保养公司每次维修保养后应提交书面维修保养报告给采购人，双方签字存档；维修保养合同期满后，维修保养公司应向采购人提交详细的维修保养报告、维修保养检测、试验记录和统计资料等。</w:t>
      </w:r>
    </w:p>
    <w:p w14:paraId="504194F8">
      <w:pPr>
        <w:spacing w:line="360" w:lineRule="auto"/>
        <w:ind w:firstLine="480" w:firstLineChars="200"/>
        <w:rPr>
          <w:rFonts w:ascii="宋体" w:hAnsi="宋体"/>
          <w:bCs/>
          <w:sz w:val="24"/>
        </w:rPr>
      </w:pPr>
      <w:r>
        <w:rPr>
          <w:rFonts w:ascii="宋体" w:hAnsi="宋体"/>
          <w:bCs/>
          <w:sz w:val="24"/>
        </w:rPr>
        <w:t>3</w:t>
      </w:r>
      <w:r>
        <w:rPr>
          <w:rFonts w:hint="eastAsia" w:ascii="宋体" w:hAnsi="宋体"/>
          <w:bCs/>
          <w:sz w:val="24"/>
        </w:rPr>
        <w:t>、检查维保记录必须经双方代表签字方能认可。</w:t>
      </w:r>
    </w:p>
    <w:p w14:paraId="3420B55B">
      <w:pPr>
        <w:spacing w:line="360" w:lineRule="auto"/>
        <w:ind w:firstLine="480" w:firstLineChars="200"/>
        <w:rPr>
          <w:rFonts w:ascii="宋体" w:hAnsi="宋体"/>
          <w:bCs/>
          <w:sz w:val="24"/>
        </w:rPr>
      </w:pPr>
      <w:r>
        <w:rPr>
          <w:rFonts w:hint="eastAsia" w:ascii="宋体" w:hAnsi="宋体"/>
          <w:bCs/>
          <w:sz w:val="24"/>
        </w:rPr>
        <w:t xml:space="preserve">4、维保施工单位对维护保养期间的施工安全负全部责任。 </w:t>
      </w:r>
    </w:p>
    <w:p w14:paraId="2BDCBA99">
      <w:pPr>
        <w:spacing w:line="360" w:lineRule="auto"/>
        <w:ind w:firstLine="480" w:firstLineChars="200"/>
        <w:rPr>
          <w:rFonts w:hint="eastAsia" w:eastAsia="宋体"/>
          <w:lang w:val="en-US" w:eastAsia="zh-CN"/>
        </w:rPr>
      </w:pPr>
      <w:r>
        <w:rPr>
          <w:rFonts w:ascii="宋体" w:hAnsi="宋体"/>
          <w:bCs/>
          <w:sz w:val="24"/>
        </w:rPr>
        <w:t>5</w:t>
      </w:r>
      <w:r>
        <w:rPr>
          <w:rFonts w:hint="eastAsia" w:ascii="宋体" w:hAnsi="宋体"/>
          <w:bCs/>
          <w:sz w:val="24"/>
        </w:rPr>
        <w:t>、因维保方疏于保养、巡检，造成机组、设备等需维修，产生的费用由维保方自行解决。</w:t>
      </w:r>
    </w:p>
    <w:p w14:paraId="37235F83">
      <w:pPr>
        <w:spacing w:line="360" w:lineRule="auto"/>
        <w:ind w:firstLine="482" w:firstLineChars="200"/>
        <w:rPr>
          <w:rFonts w:ascii="宋体" w:hAnsi="宋体"/>
          <w:b/>
          <w:bCs/>
          <w:sz w:val="24"/>
        </w:rPr>
      </w:pPr>
      <w:r>
        <w:rPr>
          <w:rFonts w:hint="eastAsia" w:ascii="宋体" w:hAnsi="宋体"/>
          <w:b/>
          <w:sz w:val="24"/>
        </w:rPr>
        <w:t>四、</w:t>
      </w:r>
      <w:r>
        <w:rPr>
          <w:rFonts w:hint="eastAsia" w:ascii="宋体" w:hAnsi="宋体"/>
          <w:b/>
          <w:bCs/>
          <w:sz w:val="24"/>
        </w:rPr>
        <w:t>报价要求</w:t>
      </w:r>
    </w:p>
    <w:p w14:paraId="5D0DC741">
      <w:pPr>
        <w:spacing w:line="360" w:lineRule="auto"/>
        <w:ind w:firstLine="480" w:firstLineChars="200"/>
        <w:rPr>
          <w:rFonts w:hint="default" w:ascii="宋体" w:hAnsi="宋体"/>
          <w:bCs/>
          <w:sz w:val="24"/>
          <w:lang w:val="en-US" w:eastAsia="zh-CN"/>
        </w:rPr>
      </w:pPr>
      <w:r>
        <w:rPr>
          <w:rFonts w:hint="eastAsia" w:ascii="宋体" w:hAnsi="宋体"/>
          <w:bCs/>
          <w:sz w:val="24"/>
          <w:lang w:val="en-US" w:eastAsia="zh-CN"/>
        </w:rPr>
        <w:t>1、</w:t>
      </w:r>
      <w:r>
        <w:rPr>
          <w:rFonts w:hint="eastAsia" w:ascii="宋体" w:hAnsi="宋体" w:eastAsiaTheme="minorEastAsia" w:cstheme="minorBidi"/>
          <w:b/>
          <w:bCs/>
          <w:i/>
          <w:iCs/>
          <w:color w:val="auto"/>
          <w:kern w:val="2"/>
          <w:sz w:val="24"/>
          <w:szCs w:val="22"/>
          <w:u w:val="single"/>
          <w:lang w:val="en-US" w:eastAsia="zh-CN" w:bidi="ar-SA"/>
        </w:rPr>
        <w:t>本采购项目最高限价为人民币</w:t>
      </w:r>
      <w:r>
        <w:rPr>
          <w:rFonts w:hint="eastAsia" w:ascii="宋体" w:hAnsi="宋体" w:cstheme="minorBidi"/>
          <w:b/>
          <w:bCs/>
          <w:i/>
          <w:iCs/>
          <w:color w:val="auto"/>
          <w:kern w:val="2"/>
          <w:sz w:val="24"/>
          <w:szCs w:val="22"/>
          <w:u w:val="single"/>
          <w:lang w:val="en-US" w:eastAsia="zh-CN" w:bidi="ar-SA"/>
        </w:rPr>
        <w:t>120万</w:t>
      </w:r>
      <w:r>
        <w:rPr>
          <w:rFonts w:hint="eastAsia" w:ascii="宋体" w:hAnsi="宋体" w:eastAsiaTheme="minorEastAsia" w:cstheme="minorBidi"/>
          <w:b/>
          <w:bCs/>
          <w:i/>
          <w:iCs/>
          <w:color w:val="auto"/>
          <w:kern w:val="2"/>
          <w:sz w:val="24"/>
          <w:szCs w:val="22"/>
          <w:u w:val="single"/>
          <w:lang w:val="en-US" w:eastAsia="zh-CN" w:bidi="ar-SA"/>
        </w:rPr>
        <w:t>，采购人不接受高于此限价的投标文件，高于此限价的投标文件为无效投标。</w:t>
      </w:r>
    </w:p>
    <w:p w14:paraId="382A1DA4">
      <w:pPr>
        <w:spacing w:line="360" w:lineRule="auto"/>
        <w:ind w:firstLine="480" w:firstLineChars="200"/>
        <w:rPr>
          <w:rFonts w:ascii="宋体" w:hAnsi="宋体"/>
          <w:sz w:val="24"/>
        </w:rPr>
      </w:pPr>
      <w:r>
        <w:rPr>
          <w:rFonts w:hint="eastAsia" w:ascii="宋体" w:hAnsi="宋体"/>
          <w:bCs/>
          <w:sz w:val="24"/>
          <w:lang w:val="en-US" w:eastAsia="zh-CN"/>
        </w:rPr>
        <w:t>2</w:t>
      </w:r>
      <w:r>
        <w:rPr>
          <w:rFonts w:hint="eastAsia" w:ascii="宋体" w:hAnsi="宋体"/>
          <w:bCs/>
          <w:sz w:val="24"/>
        </w:rPr>
        <w:t>、</w:t>
      </w:r>
      <w:r>
        <w:rPr>
          <w:rFonts w:hint="eastAsia" w:ascii="宋体" w:hAnsi="宋体"/>
          <w:sz w:val="24"/>
        </w:rPr>
        <w:t>本次</w:t>
      </w:r>
      <w:r>
        <w:rPr>
          <w:rFonts w:hint="eastAsia" w:ascii="宋体" w:hAnsi="宋体"/>
          <w:sz w:val="24"/>
          <w:lang w:val="en-US" w:eastAsia="zh-CN"/>
        </w:rPr>
        <w:t>采购</w:t>
      </w:r>
      <w:r>
        <w:rPr>
          <w:rFonts w:hint="eastAsia" w:ascii="宋体" w:hAnsi="宋体"/>
          <w:sz w:val="24"/>
        </w:rPr>
        <w:t>按全费用固定总价报价方式；</w:t>
      </w:r>
      <w:r>
        <w:rPr>
          <w:rFonts w:hint="eastAsia" w:ascii="宋体" w:hAnsi="宋体"/>
          <w:sz w:val="24"/>
          <w:lang w:val="en-US" w:eastAsia="zh-CN"/>
        </w:rPr>
        <w:t>供应商</w:t>
      </w:r>
      <w:r>
        <w:rPr>
          <w:rFonts w:hint="eastAsia" w:ascii="宋体" w:hAnsi="宋体"/>
          <w:sz w:val="24"/>
        </w:rPr>
        <w:t>应承担其参加本次</w:t>
      </w:r>
      <w:r>
        <w:rPr>
          <w:rFonts w:hint="eastAsia" w:ascii="宋体" w:hAnsi="宋体"/>
          <w:sz w:val="24"/>
          <w:lang w:val="en-US" w:eastAsia="zh-CN"/>
        </w:rPr>
        <w:t>采购</w:t>
      </w:r>
      <w:r>
        <w:rPr>
          <w:rFonts w:hint="eastAsia" w:ascii="宋体" w:hAnsi="宋体"/>
          <w:sz w:val="24"/>
        </w:rPr>
        <w:t>活动自身所涉及的一切费用。无论投标结果如何，采购人对上述费用不负任何责任。</w:t>
      </w:r>
    </w:p>
    <w:p w14:paraId="549B3F7D">
      <w:pPr>
        <w:spacing w:line="360" w:lineRule="auto"/>
        <w:ind w:firstLine="482" w:firstLineChars="200"/>
        <w:rPr>
          <w:rFonts w:ascii="宋体" w:hAnsi="宋体" w:cs="Arial"/>
          <w:sz w:val="24"/>
        </w:rPr>
      </w:pPr>
      <w:r>
        <w:rPr>
          <w:rFonts w:hint="eastAsia" w:ascii="宋体" w:hAnsi="宋体"/>
          <w:b/>
          <w:sz w:val="24"/>
        </w:rPr>
        <w:t>3、</w:t>
      </w:r>
      <w:r>
        <w:rPr>
          <w:rFonts w:hint="eastAsia" w:ascii="宋体" w:hAnsi="宋体"/>
          <w:b/>
          <w:sz w:val="24"/>
          <w:lang w:eastAsia="zh-CN"/>
        </w:rPr>
        <w:t>供应商</w:t>
      </w:r>
      <w:r>
        <w:rPr>
          <w:rFonts w:hint="eastAsia" w:ascii="宋体" w:hAnsi="宋体"/>
          <w:b/>
          <w:sz w:val="24"/>
        </w:rPr>
        <w:t>在开标一览表中填写的总价为五年总服务费</w:t>
      </w:r>
      <w:r>
        <w:rPr>
          <w:rFonts w:hint="eastAsia" w:ascii="宋体" w:hAnsi="宋体"/>
          <w:sz w:val="24"/>
        </w:rPr>
        <w:t>，采购人视为已包括为完成本次采购项目全部内容及服务等五年的综合全费用固定总价，无论何种原因，结算时此价格均不作调整。</w:t>
      </w:r>
    </w:p>
    <w:p w14:paraId="263940C2">
      <w:pPr>
        <w:spacing w:line="360" w:lineRule="auto"/>
        <w:ind w:firstLine="482" w:firstLineChars="200"/>
        <w:rPr>
          <w:rFonts w:hint="eastAsia" w:ascii="宋体" w:hAnsi="宋体"/>
          <w:b/>
          <w:bCs/>
          <w:sz w:val="24"/>
        </w:rPr>
      </w:pPr>
      <w:r>
        <w:rPr>
          <w:rFonts w:hint="eastAsia" w:ascii="宋体" w:hAnsi="宋体"/>
          <w:b/>
          <w:bCs/>
          <w:sz w:val="24"/>
        </w:rPr>
        <w:t>五、付款方式</w:t>
      </w:r>
    </w:p>
    <w:p w14:paraId="382D9C92">
      <w:pPr>
        <w:spacing w:line="360" w:lineRule="auto"/>
        <w:ind w:firstLine="480" w:firstLineChars="200"/>
        <w:rPr>
          <w:rFonts w:ascii="宋体" w:hAnsi="宋体"/>
          <w:sz w:val="24"/>
        </w:rPr>
      </w:pPr>
      <w:r>
        <w:rPr>
          <w:rFonts w:hint="eastAsia" w:ascii="宋体" w:hAnsi="宋体"/>
          <w:sz w:val="24"/>
        </w:rPr>
        <w:t>按本文件第三章合同条款中的相关条款执行。</w:t>
      </w:r>
    </w:p>
    <w:p w14:paraId="386C8563">
      <w:pPr>
        <w:spacing w:line="360" w:lineRule="auto"/>
        <w:ind w:firstLine="482" w:firstLineChars="200"/>
        <w:rPr>
          <w:rFonts w:hint="eastAsia" w:ascii="宋体" w:hAnsi="宋体"/>
          <w:b/>
          <w:bCs/>
          <w:sz w:val="24"/>
        </w:rPr>
      </w:pPr>
      <w:r>
        <w:rPr>
          <w:rFonts w:hint="eastAsia" w:ascii="宋体" w:hAnsi="宋体"/>
          <w:b/>
          <w:bCs/>
          <w:sz w:val="24"/>
          <w:lang w:val="en-US" w:eastAsia="zh-CN"/>
        </w:rPr>
        <w:t>六</w:t>
      </w:r>
      <w:r>
        <w:rPr>
          <w:rFonts w:hint="eastAsia" w:ascii="宋体" w:hAnsi="宋体"/>
          <w:b/>
          <w:bCs/>
          <w:sz w:val="24"/>
        </w:rPr>
        <w:t>、应充分响应的技术规范和商务条款</w:t>
      </w:r>
    </w:p>
    <w:p w14:paraId="49DE81E7">
      <w:pPr>
        <w:pStyle w:val="82"/>
        <w:spacing w:line="360" w:lineRule="auto"/>
        <w:ind w:firstLine="480" w:firstLineChars="200"/>
      </w:pPr>
      <w:r>
        <w:rPr>
          <w:rFonts w:hint="eastAsia" w:ascii="宋体" w:hAnsi="宋体" w:eastAsia="宋体" w:cs="宋体"/>
          <w:sz w:val="24"/>
          <w:szCs w:val="24"/>
        </w:rPr>
        <w:t>本</w:t>
      </w:r>
      <w:r>
        <w:rPr>
          <w:rFonts w:hint="eastAsia" w:ascii="宋体" w:hAnsi="宋体" w:eastAsia="宋体" w:cs="宋体"/>
          <w:sz w:val="24"/>
          <w:szCs w:val="24"/>
          <w:lang w:eastAsia="zh-CN"/>
        </w:rPr>
        <w:t>招标文件</w:t>
      </w:r>
      <w:r>
        <w:rPr>
          <w:rFonts w:hint="eastAsia" w:ascii="宋体" w:hAnsi="宋体" w:eastAsia="宋体" w:cs="宋体"/>
          <w:sz w:val="24"/>
          <w:szCs w:val="24"/>
        </w:rPr>
        <w:t>所提出的各项要求、付款方式、合同履行期限、服务内容、服务要求等重要商务要求，</w:t>
      </w:r>
      <w:r>
        <w:rPr>
          <w:rFonts w:hint="eastAsia" w:ascii="宋体" w:hAnsi="宋体" w:eastAsia="宋体" w:cs="宋体"/>
          <w:sz w:val="24"/>
          <w:szCs w:val="24"/>
          <w:lang w:eastAsia="zh-CN"/>
        </w:rPr>
        <w:t>投标人</w:t>
      </w:r>
      <w:r>
        <w:rPr>
          <w:rFonts w:hint="eastAsia" w:ascii="宋体" w:hAnsi="宋体" w:eastAsia="宋体" w:cs="宋体"/>
          <w:sz w:val="24"/>
          <w:szCs w:val="24"/>
        </w:rPr>
        <w:t>应充分响应，否则</w:t>
      </w:r>
      <w:r>
        <w:rPr>
          <w:rFonts w:hint="eastAsia" w:ascii="宋体" w:hAnsi="宋体" w:eastAsia="宋体" w:cs="宋体"/>
          <w:sz w:val="24"/>
          <w:szCs w:val="24"/>
          <w:lang w:eastAsia="zh-CN"/>
        </w:rPr>
        <w:t>评标委员会</w:t>
      </w:r>
      <w:r>
        <w:rPr>
          <w:rFonts w:hint="eastAsia" w:ascii="宋体" w:hAnsi="宋体" w:eastAsia="宋体" w:cs="宋体"/>
          <w:sz w:val="24"/>
          <w:szCs w:val="24"/>
        </w:rPr>
        <w:t>有权酌情认定为实质性或重大负偏离。</w:t>
      </w:r>
      <w:r>
        <w:t> </w:t>
      </w:r>
    </w:p>
    <w:p w14:paraId="1FC6B571">
      <w:pPr>
        <w:keepNext w:val="0"/>
        <w:keepLines w:val="0"/>
        <w:pageBreakBefore w:val="0"/>
        <w:spacing w:line="460" w:lineRule="exact"/>
        <w:ind w:firstLine="562"/>
        <w:rPr>
          <w:rFonts w:hint="eastAsia" w:ascii="宋体" w:hAnsi="宋体" w:eastAsia="宋体" w:cs="宋体"/>
          <w:b/>
          <w:sz w:val="24"/>
          <w:szCs w:val="24"/>
        </w:rPr>
      </w:pPr>
      <w:r>
        <w:rPr>
          <w:rFonts w:hint="eastAsia" w:ascii="宋体" w:hAnsi="宋体" w:cs="宋体"/>
          <w:b/>
          <w:sz w:val="24"/>
          <w:szCs w:val="24"/>
          <w:lang w:val="en-US" w:eastAsia="zh-CN"/>
        </w:rPr>
        <w:t>七</w:t>
      </w:r>
      <w:r>
        <w:rPr>
          <w:rFonts w:hint="eastAsia" w:ascii="宋体" w:hAnsi="宋体" w:eastAsia="宋体" w:cs="宋体"/>
          <w:b/>
          <w:sz w:val="24"/>
          <w:szCs w:val="24"/>
        </w:rPr>
        <w:t>、其它</w:t>
      </w:r>
    </w:p>
    <w:p w14:paraId="0DC40731">
      <w:pPr>
        <w:keepNext w:val="0"/>
        <w:keepLines w:val="0"/>
        <w:pageBreakBefore w:val="0"/>
        <w:spacing w:line="460" w:lineRule="exact"/>
        <w:ind w:firstLine="56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投标人</w:t>
      </w:r>
      <w:r>
        <w:rPr>
          <w:rFonts w:hint="eastAsia" w:ascii="宋体" w:hAnsi="宋体" w:eastAsia="宋体" w:cs="宋体"/>
          <w:sz w:val="24"/>
          <w:szCs w:val="24"/>
        </w:rPr>
        <w:t>必须对其提供的材料真实性负责，一旦发现造假行为，采购人将取消其磋商资格，已中标（成交）的将取消其中标（成交）资格。</w:t>
      </w:r>
    </w:p>
    <w:p w14:paraId="5135F03D">
      <w:pPr>
        <w:keepNext w:val="0"/>
        <w:keepLines w:val="0"/>
        <w:pageBreakBefore w:val="0"/>
        <w:spacing w:line="460" w:lineRule="exact"/>
        <w:ind w:firstLine="560"/>
        <w:rPr>
          <w:rFonts w:hint="eastAsia" w:ascii="宋体" w:hAnsi="宋体" w:eastAsia="宋体" w:cs="宋体"/>
          <w:sz w:val="24"/>
          <w:szCs w:val="24"/>
        </w:rPr>
      </w:pPr>
      <w:r>
        <w:rPr>
          <w:rFonts w:hint="eastAsia" w:ascii="宋体" w:hAnsi="宋体" w:eastAsia="宋体" w:cs="宋体"/>
          <w:sz w:val="24"/>
          <w:szCs w:val="24"/>
        </w:rPr>
        <w:t>2、本次招标过程中采购人提供的全部文件资料以及经采购人同意的项目技术要求等有关文件材料，均为合同的组成部分。</w:t>
      </w:r>
    </w:p>
    <w:p w14:paraId="7ABC0241">
      <w:pPr>
        <w:keepNext w:val="0"/>
        <w:keepLines w:val="0"/>
        <w:pageBreakBefore w:val="0"/>
        <w:spacing w:line="460" w:lineRule="exact"/>
        <w:ind w:firstLine="560"/>
        <w:rPr>
          <w:rFonts w:hint="eastAsia" w:ascii="宋体" w:hAnsi="宋体" w:eastAsia="宋体" w:cs="宋体"/>
          <w:b/>
          <w:sz w:val="24"/>
          <w:szCs w:val="24"/>
        </w:rPr>
      </w:pPr>
      <w:r>
        <w:rPr>
          <w:rFonts w:hint="eastAsia" w:ascii="宋体" w:hAnsi="宋体" w:eastAsia="宋体" w:cs="宋体"/>
          <w:sz w:val="24"/>
          <w:szCs w:val="24"/>
        </w:rPr>
        <w:t>3、中标（成交）</w:t>
      </w:r>
      <w:r>
        <w:rPr>
          <w:rFonts w:hint="eastAsia" w:ascii="宋体" w:hAnsi="宋体" w:eastAsia="宋体" w:cs="宋体"/>
          <w:sz w:val="24"/>
          <w:szCs w:val="24"/>
          <w:lang w:eastAsia="zh-CN"/>
        </w:rPr>
        <w:t>投标人</w:t>
      </w:r>
      <w:r>
        <w:rPr>
          <w:rFonts w:hint="eastAsia" w:ascii="宋体" w:hAnsi="宋体" w:eastAsia="宋体" w:cs="宋体"/>
          <w:sz w:val="24"/>
          <w:szCs w:val="24"/>
        </w:rPr>
        <w:t>在履行合同过程中，所发生的全部生产、生活费用均由中标</w:t>
      </w:r>
      <w:r>
        <w:rPr>
          <w:rFonts w:hint="eastAsia" w:ascii="宋体" w:hAnsi="宋体" w:eastAsia="宋体" w:cs="宋体"/>
          <w:sz w:val="24"/>
          <w:szCs w:val="24"/>
          <w:lang w:eastAsia="zh-CN"/>
        </w:rPr>
        <w:t>投标人</w:t>
      </w:r>
      <w:r>
        <w:rPr>
          <w:rFonts w:hint="eastAsia" w:ascii="宋体" w:hAnsi="宋体" w:eastAsia="宋体" w:cs="宋体"/>
          <w:sz w:val="24"/>
          <w:szCs w:val="24"/>
        </w:rPr>
        <w:t>负责。</w:t>
      </w:r>
    </w:p>
    <w:p w14:paraId="0C67E9EB">
      <w:pPr>
        <w:keepNext w:val="0"/>
        <w:keepLines w:val="0"/>
        <w:pageBreakBefore w:val="0"/>
        <w:spacing w:line="460" w:lineRule="exact"/>
        <w:ind w:firstLine="56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其它未尽事项按国家、地方有关法律、法规、规章规定办理。</w:t>
      </w:r>
    </w:p>
    <w:p w14:paraId="29A5BCAB">
      <w:pPr>
        <w:pStyle w:val="45"/>
        <w:keepNext w:val="0"/>
        <w:keepLines w:val="0"/>
        <w:pageBreakBefore w:val="0"/>
        <w:spacing w:beforeAutospacing="0" w:afterAutospacing="0" w:line="460" w:lineRule="exact"/>
        <w:ind w:firstLine="562"/>
        <w:jc w:val="both"/>
        <w:rPr>
          <w:rFonts w:hint="eastAsia" w:ascii="宋体" w:hAnsi="宋体" w:eastAsia="宋体" w:cs="宋体"/>
          <w:b/>
          <w:sz w:val="24"/>
          <w:szCs w:val="24"/>
        </w:rPr>
      </w:pPr>
      <w:r>
        <w:rPr>
          <w:rFonts w:hint="eastAsia" w:cs="宋体"/>
          <w:b/>
          <w:sz w:val="24"/>
          <w:szCs w:val="24"/>
          <w:lang w:val="en-US" w:eastAsia="zh-CN"/>
        </w:rPr>
        <w:t>八</w:t>
      </w:r>
      <w:r>
        <w:rPr>
          <w:rFonts w:hint="eastAsia" w:ascii="宋体" w:hAnsi="宋体" w:eastAsia="宋体" w:cs="宋体"/>
          <w:b/>
          <w:sz w:val="24"/>
          <w:szCs w:val="24"/>
        </w:rPr>
        <w:t>、采购标的对应的中小企业划分标准所属行业一览表</w:t>
      </w:r>
    </w:p>
    <w:tbl>
      <w:tblPr>
        <w:tblStyle w:val="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4490"/>
        <w:gridCol w:w="3695"/>
      </w:tblGrid>
      <w:tr w14:paraId="2886C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1101" w:type="dxa"/>
            <w:noWrap/>
            <w:vAlign w:val="center"/>
          </w:tcPr>
          <w:p w14:paraId="4E078930">
            <w:pPr>
              <w:pStyle w:val="45"/>
              <w:keepNext w:val="0"/>
              <w:keepLines w:val="0"/>
              <w:pageBreakBefore w:val="0"/>
              <w:spacing w:beforeAutospacing="0" w:afterAutospacing="0" w:line="460" w:lineRule="exact"/>
              <w:jc w:val="center"/>
              <w:rPr>
                <w:rFonts w:hint="eastAsia" w:ascii="宋体" w:hAnsi="宋体" w:eastAsia="宋体" w:cs="宋体"/>
                <w:b/>
                <w:sz w:val="24"/>
                <w:szCs w:val="24"/>
              </w:rPr>
            </w:pPr>
            <w:r>
              <w:rPr>
                <w:rFonts w:hint="eastAsia" w:ascii="宋体" w:hAnsi="宋体" w:eastAsia="宋体" w:cs="宋体"/>
                <w:sz w:val="24"/>
                <w:szCs w:val="24"/>
              </w:rPr>
              <w:t>序号</w:t>
            </w:r>
          </w:p>
        </w:tc>
        <w:tc>
          <w:tcPr>
            <w:tcW w:w="4490" w:type="dxa"/>
            <w:noWrap/>
            <w:vAlign w:val="center"/>
          </w:tcPr>
          <w:p w14:paraId="0C5D34EA">
            <w:pPr>
              <w:pStyle w:val="45"/>
              <w:keepNext w:val="0"/>
              <w:keepLines w:val="0"/>
              <w:pageBreakBefore w:val="0"/>
              <w:spacing w:beforeAutospacing="0" w:afterAutospacing="0" w:line="460" w:lineRule="exact"/>
              <w:jc w:val="center"/>
              <w:rPr>
                <w:rFonts w:hint="eastAsia" w:ascii="宋体" w:hAnsi="宋体" w:eastAsia="宋体" w:cs="宋体"/>
                <w:b/>
                <w:sz w:val="24"/>
                <w:szCs w:val="24"/>
              </w:rPr>
            </w:pPr>
            <w:r>
              <w:rPr>
                <w:rFonts w:hint="eastAsia" w:ascii="宋体" w:hAnsi="宋体" w:eastAsia="宋体" w:cs="宋体"/>
                <w:sz w:val="24"/>
                <w:szCs w:val="24"/>
              </w:rPr>
              <w:t>采购标的</w:t>
            </w:r>
          </w:p>
        </w:tc>
        <w:tc>
          <w:tcPr>
            <w:tcW w:w="3695" w:type="dxa"/>
            <w:noWrap/>
            <w:vAlign w:val="center"/>
          </w:tcPr>
          <w:p w14:paraId="1D7A1876">
            <w:pPr>
              <w:pStyle w:val="45"/>
              <w:keepNext w:val="0"/>
              <w:keepLines w:val="0"/>
              <w:pageBreakBefore w:val="0"/>
              <w:spacing w:beforeAutospacing="0" w:afterAutospacing="0" w:line="460" w:lineRule="exact"/>
              <w:jc w:val="center"/>
              <w:rPr>
                <w:rFonts w:hint="eastAsia" w:ascii="宋体" w:hAnsi="宋体" w:eastAsia="宋体" w:cs="宋体"/>
                <w:b/>
                <w:sz w:val="24"/>
                <w:szCs w:val="24"/>
              </w:rPr>
            </w:pPr>
            <w:r>
              <w:rPr>
                <w:rFonts w:hint="eastAsia" w:ascii="宋体" w:hAnsi="宋体" w:eastAsia="宋体" w:cs="宋体"/>
                <w:sz w:val="24"/>
                <w:szCs w:val="24"/>
              </w:rPr>
              <w:t>对应中小企业划分标准所属行业</w:t>
            </w:r>
          </w:p>
        </w:tc>
      </w:tr>
      <w:tr w14:paraId="3510E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noWrap/>
            <w:vAlign w:val="center"/>
          </w:tcPr>
          <w:p w14:paraId="03637341">
            <w:pPr>
              <w:pStyle w:val="45"/>
              <w:keepNext w:val="0"/>
              <w:keepLines w:val="0"/>
              <w:pageBreakBefore w:val="0"/>
              <w:spacing w:beforeAutospacing="0" w:afterAutospacing="0" w:line="460" w:lineRule="exact"/>
              <w:jc w:val="center"/>
              <w:rPr>
                <w:rFonts w:hint="eastAsia" w:ascii="宋体" w:hAnsi="宋体" w:eastAsia="宋体" w:cs="宋体"/>
                <w:b/>
                <w:sz w:val="24"/>
                <w:szCs w:val="24"/>
              </w:rPr>
            </w:pPr>
            <w:r>
              <w:rPr>
                <w:rFonts w:hint="eastAsia" w:ascii="宋体" w:hAnsi="宋体" w:eastAsia="宋体" w:cs="宋体"/>
                <w:sz w:val="24"/>
                <w:szCs w:val="24"/>
              </w:rPr>
              <w:t>1</w:t>
            </w:r>
          </w:p>
        </w:tc>
        <w:tc>
          <w:tcPr>
            <w:tcW w:w="4490" w:type="dxa"/>
            <w:noWrap/>
            <w:vAlign w:val="center"/>
          </w:tcPr>
          <w:p w14:paraId="7196D899">
            <w:pPr>
              <w:pStyle w:val="45"/>
              <w:keepNext w:val="0"/>
              <w:keepLines w:val="0"/>
              <w:pageBreakBefore w:val="0"/>
              <w:spacing w:beforeAutospacing="0" w:afterAutospacing="0" w:line="460" w:lineRule="exact"/>
              <w:jc w:val="center"/>
              <w:rPr>
                <w:rFonts w:hint="eastAsia" w:ascii="宋体" w:hAnsi="宋体" w:eastAsia="宋体" w:cs="宋体"/>
                <w:b/>
                <w:sz w:val="24"/>
                <w:szCs w:val="24"/>
                <w:lang w:eastAsia="zh-CN"/>
              </w:rPr>
            </w:pPr>
            <w:r>
              <w:rPr>
                <w:rFonts w:hint="eastAsia" w:cs="宋体"/>
                <w:sz w:val="24"/>
                <w:szCs w:val="24"/>
                <w:lang w:eastAsia="zh-CN"/>
              </w:rPr>
              <w:t>阜宁县沟墩中心卫生院CT维保项目</w:t>
            </w:r>
          </w:p>
        </w:tc>
        <w:tc>
          <w:tcPr>
            <w:tcW w:w="3695" w:type="dxa"/>
            <w:noWrap/>
            <w:vAlign w:val="center"/>
          </w:tcPr>
          <w:p w14:paraId="73713230">
            <w:pPr>
              <w:pStyle w:val="45"/>
              <w:keepNext w:val="0"/>
              <w:keepLines w:val="0"/>
              <w:pageBreakBefore w:val="0"/>
              <w:spacing w:beforeAutospacing="0" w:afterAutospacing="0" w:line="460" w:lineRule="exact"/>
              <w:jc w:val="center"/>
              <w:rPr>
                <w:rFonts w:hint="eastAsia" w:ascii="宋体" w:hAnsi="宋体" w:eastAsia="宋体" w:cs="宋体"/>
                <w:b/>
                <w:sz w:val="24"/>
                <w:szCs w:val="24"/>
              </w:rPr>
            </w:pPr>
            <w:r>
              <w:rPr>
                <w:rFonts w:hint="eastAsia" w:ascii="宋体" w:hAnsi="宋体" w:eastAsia="宋体" w:cs="宋体"/>
                <w:sz w:val="24"/>
                <w:szCs w:val="24"/>
              </w:rPr>
              <w:t>其他未列明行业</w:t>
            </w:r>
          </w:p>
        </w:tc>
      </w:tr>
    </w:tbl>
    <w:p w14:paraId="5B9D9FFB">
      <w:pPr>
        <w:spacing w:line="460" w:lineRule="exact"/>
        <w:ind w:firstLine="480"/>
        <w:rPr>
          <w:rStyle w:val="308"/>
          <w:rFonts w:hint="eastAsia" w:ascii="宋体" w:hAnsi="宋体" w:cs="宋体"/>
          <w:color w:val="auto"/>
          <w:sz w:val="24"/>
          <w:szCs w:val="24"/>
          <w:highlight w:val="none"/>
        </w:rPr>
      </w:pPr>
    </w:p>
    <w:p w14:paraId="4803236B">
      <w:pPr>
        <w:outlineLvl w:val="0"/>
        <w:rPr>
          <w:rFonts w:ascii="黑体" w:eastAsia="黑体"/>
          <w:color w:val="auto"/>
          <w:sz w:val="44"/>
          <w:szCs w:val="44"/>
          <w:highlight w:val="none"/>
        </w:rPr>
      </w:pPr>
      <w:r>
        <w:rPr>
          <w:rFonts w:hint="eastAsia" w:ascii="黑体" w:eastAsia="黑体"/>
          <w:b/>
          <w:bCs/>
          <w:color w:val="auto"/>
          <w:sz w:val="44"/>
          <w:szCs w:val="28"/>
          <w:highlight w:val="none"/>
        </w:rPr>
        <w:br w:type="page" w:clear="all"/>
      </w:r>
    </w:p>
    <w:p w14:paraId="38D67005">
      <w:pPr>
        <w:spacing w:before="120" w:after="120" w:line="360" w:lineRule="auto"/>
        <w:jc w:val="center"/>
        <w:rPr>
          <w:rFonts w:hint="eastAsia" w:ascii="黑体" w:hAnsi="黑体" w:eastAsia="黑体"/>
          <w:color w:val="auto"/>
          <w:sz w:val="44"/>
          <w:szCs w:val="44"/>
          <w:highlight w:val="none"/>
        </w:rPr>
      </w:pPr>
      <w:r>
        <w:rPr>
          <w:rFonts w:hint="eastAsia" w:ascii="黑体" w:hAnsi="黑体" w:eastAsia="黑体"/>
          <w:color w:val="auto"/>
          <w:sz w:val="44"/>
          <w:szCs w:val="44"/>
          <w:highlight w:val="none"/>
        </w:rPr>
        <w:t>第五章  评标方法与评标标准</w:t>
      </w:r>
    </w:p>
    <w:p w14:paraId="14FB8198">
      <w:pPr>
        <w:keepNext w:val="0"/>
        <w:keepLines w:val="0"/>
        <w:pageBreakBefore w:val="0"/>
        <w:spacing w:line="460" w:lineRule="exact"/>
        <w:ind w:firstLine="482"/>
        <w:rPr>
          <w:rFonts w:hint="eastAsia" w:ascii="宋体" w:hAnsi="宋体" w:cs="宋体"/>
          <w:b/>
          <w:bCs w:val="0"/>
          <w:color w:val="auto"/>
          <w:sz w:val="24"/>
          <w:highlight w:val="none"/>
        </w:rPr>
      </w:pPr>
      <w:r>
        <w:rPr>
          <w:rFonts w:hint="eastAsia" w:ascii="宋体" w:hAnsi="宋体" w:cs="宋体"/>
          <w:b/>
          <w:bCs w:val="0"/>
          <w:color w:val="auto"/>
          <w:sz w:val="24"/>
          <w:highlight w:val="none"/>
        </w:rPr>
        <w:t>一、定标原则</w:t>
      </w:r>
    </w:p>
    <w:p w14:paraId="1A6E850E">
      <w:pPr>
        <w:keepNext w:val="0"/>
        <w:keepLines w:val="0"/>
        <w:pageBreakBefore w:val="0"/>
        <w:spacing w:line="460" w:lineRule="exact"/>
        <w:ind w:firstLine="480"/>
        <w:rPr>
          <w:rFonts w:hint="eastAsia" w:ascii="宋体" w:hAnsi="宋体" w:cs="宋体"/>
          <w:color w:val="auto"/>
          <w:sz w:val="24"/>
          <w:highlight w:val="none"/>
        </w:rPr>
      </w:pPr>
      <w:r>
        <w:rPr>
          <w:rFonts w:hint="eastAsia" w:ascii="宋体" w:hAnsi="宋体" w:cs="宋体"/>
          <w:bCs/>
          <w:color w:val="auto"/>
          <w:sz w:val="24"/>
          <w:highlight w:val="none"/>
        </w:rPr>
        <w:t>本项目采用</w:t>
      </w:r>
      <w:r>
        <w:rPr>
          <w:rFonts w:hint="eastAsia" w:ascii="宋体" w:hAnsi="宋体" w:cs="宋体"/>
          <w:bCs/>
          <w:color w:val="auto"/>
          <w:sz w:val="24"/>
          <w:highlight w:val="none"/>
          <w:u w:val="single"/>
        </w:rPr>
        <w:t xml:space="preserve"> 综合评分 </w:t>
      </w:r>
      <w:r>
        <w:rPr>
          <w:rFonts w:hint="eastAsia" w:ascii="宋体" w:hAnsi="宋体" w:cs="宋体"/>
          <w:bCs/>
          <w:color w:val="auto"/>
          <w:sz w:val="24"/>
          <w:highlight w:val="none"/>
        </w:rPr>
        <w:t>法。</w:t>
      </w:r>
      <w:r>
        <w:rPr>
          <w:rFonts w:ascii="宋体" w:hAnsi="宋体"/>
          <w:color w:val="auto"/>
          <w:sz w:val="24"/>
          <w:szCs w:val="24"/>
          <w:highlight w:val="none"/>
        </w:rPr>
        <w:t>评标结果按评审后得分由高到低顺序排列。得分相同的，按投标报价由低到高顺序排列。</w:t>
      </w:r>
      <w:r>
        <w:rPr>
          <w:rFonts w:hint="eastAsia" w:ascii="宋体" w:hAnsi="宋体" w:cs="宋体"/>
          <w:color w:val="auto"/>
          <w:sz w:val="24"/>
          <w:highlight w:val="none"/>
        </w:rPr>
        <w:t>得分且投标报价相同的，由评标委员会组织通过抽签的方式确定</w:t>
      </w:r>
      <w:r>
        <w:rPr>
          <w:rFonts w:hint="eastAsia" w:ascii="宋体" w:hAnsi="宋体" w:cs="宋体"/>
          <w:color w:val="auto"/>
          <w:highlight w:val="none"/>
        </w:rPr>
        <w:t>排名</w:t>
      </w:r>
      <w:r>
        <w:rPr>
          <w:rFonts w:hint="eastAsia" w:ascii="宋体" w:hAnsi="宋体" w:cs="宋体"/>
          <w:color w:val="auto"/>
          <w:sz w:val="24"/>
          <w:highlight w:val="none"/>
        </w:rPr>
        <w:t>。投标文件满足招标文件全部实质性要求，且按照评审因素的量化指标评审得分最高的投标人为中标候选人，本项目选取1名中标候选人。</w:t>
      </w:r>
    </w:p>
    <w:p w14:paraId="2B118B8B">
      <w:pPr>
        <w:keepNext w:val="0"/>
        <w:keepLines w:val="0"/>
        <w:pageBreakBefore w:val="0"/>
        <w:spacing w:line="460" w:lineRule="exact"/>
        <w:ind w:firstLine="480"/>
        <w:rPr>
          <w:rFonts w:hint="eastAsia" w:ascii="宋体" w:hAnsi="宋体"/>
          <w:color w:val="auto"/>
          <w:sz w:val="24"/>
          <w:szCs w:val="24"/>
          <w:highlight w:val="none"/>
        </w:rPr>
      </w:pPr>
      <w:r>
        <w:rPr>
          <w:rFonts w:hint="eastAsia" w:cs="Arial"/>
          <w:color w:val="auto"/>
          <w:highlight w:val="none"/>
        </w:rPr>
        <w:t>招标人根据评标委员会提供的书面评标报告，确定报告中推荐的排名第一的中标候选人为中标人。</w:t>
      </w:r>
    </w:p>
    <w:p w14:paraId="2747F1ED">
      <w:pPr>
        <w:pStyle w:val="321"/>
        <w:keepNext w:val="0"/>
        <w:keepLines w:val="0"/>
        <w:pageBreakBefore w:val="0"/>
        <w:spacing w:line="460" w:lineRule="exact"/>
        <w:ind w:firstLine="480"/>
        <w:rPr>
          <w:rFonts w:hint="eastAsia" w:ascii="宋体" w:hAnsi="宋体"/>
          <w:color w:val="auto"/>
          <w:sz w:val="24"/>
          <w:szCs w:val="24"/>
          <w:highlight w:val="none"/>
        </w:rPr>
      </w:pPr>
      <w:r>
        <w:rPr>
          <w:rStyle w:val="308"/>
          <w:rFonts w:ascii="宋体"/>
          <w:color w:val="auto"/>
          <w:sz w:val="24"/>
          <w:szCs w:val="24"/>
          <w:highlight w:val="none"/>
          <w:lang w:val="zh-TW"/>
        </w:rPr>
        <w:t>评标委员会决定投标文件的响应性只根据投标文件本身的内容，而不寻求外部的证据。对不中标的候选人，招标人有权不作任何解释。</w:t>
      </w:r>
    </w:p>
    <w:p w14:paraId="3490A51E">
      <w:pPr>
        <w:keepNext w:val="0"/>
        <w:keepLines w:val="0"/>
        <w:pageBreakBefore w:val="0"/>
        <w:numPr>
          <w:ilvl w:val="0"/>
          <w:numId w:val="6"/>
        </w:num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政府采购政策功能落实</w:t>
      </w:r>
    </w:p>
    <w:p w14:paraId="1E4F28F8">
      <w:pPr>
        <w:keepNext w:val="0"/>
        <w:keepLines w:val="0"/>
        <w:pageBreakBefore w:val="0"/>
        <w:spacing w:line="460" w:lineRule="exact"/>
        <w:ind w:firstLine="480"/>
        <w:rPr>
          <w:rFonts w:hint="eastAsia" w:ascii="宋体" w:hAnsi="宋体"/>
          <w:b/>
          <w:bCs/>
          <w:color w:val="auto"/>
          <w:sz w:val="24"/>
          <w:highlight w:val="none"/>
        </w:rPr>
      </w:pPr>
      <w:r>
        <w:rPr>
          <w:rFonts w:hint="eastAsia" w:ascii="宋体" w:hAnsi="宋体"/>
          <w:b/>
          <w:bCs/>
          <w:color w:val="auto"/>
          <w:sz w:val="24"/>
          <w:szCs w:val="24"/>
          <w:highlight w:val="none"/>
        </w:rPr>
        <w:t>1.因本项目属专门</w:t>
      </w:r>
      <w:r>
        <w:rPr>
          <w:rFonts w:hint="eastAsia" w:ascii="宋体" w:hAnsi="宋体"/>
          <w:b/>
          <w:bCs/>
          <w:color w:val="auto"/>
          <w:sz w:val="24"/>
          <w:highlight w:val="none"/>
        </w:rPr>
        <w:t>面向中小企业采购项目，只接受中小企业投标，故本项目在评审时，不再对小型和微型企业投标价格给予扣除，请各</w:t>
      </w:r>
      <w:r>
        <w:rPr>
          <w:rFonts w:hint="eastAsia" w:ascii="宋体" w:hAnsi="宋体"/>
          <w:b/>
          <w:bCs/>
          <w:color w:val="auto"/>
          <w:sz w:val="24"/>
          <w:highlight w:val="none"/>
          <w:lang w:eastAsia="zh-CN"/>
        </w:rPr>
        <w:t>投标人</w:t>
      </w:r>
      <w:r>
        <w:rPr>
          <w:rFonts w:hint="eastAsia" w:ascii="宋体" w:hAnsi="宋体"/>
          <w:b/>
          <w:bCs/>
          <w:color w:val="auto"/>
          <w:sz w:val="24"/>
          <w:highlight w:val="none"/>
        </w:rPr>
        <w:t>予以关注。</w:t>
      </w:r>
    </w:p>
    <w:p w14:paraId="277E5E76">
      <w:pPr>
        <w:keepNext w:val="0"/>
        <w:keepLines w:val="0"/>
        <w:pageBreakBefore w:val="0"/>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2.中小企业</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参加本项目政府采购活动的，应当按照采购文件的要求提供相应的《中小企业声明函》。除此之外，</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无需提供《中小企业声明函》之外的中小企业身份证明文件。</w:t>
      </w:r>
    </w:p>
    <w:p w14:paraId="5BC2F7F0">
      <w:pPr>
        <w:keepNext w:val="0"/>
        <w:keepLines w:val="0"/>
        <w:pageBreakBefore w:val="0"/>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3.企业标准请参照《关于印发中小企业划型标准规定的通知》（工信部联企业[2011]300号）文件规定自行填写。</w:t>
      </w:r>
    </w:p>
    <w:p w14:paraId="3566A76C">
      <w:pPr>
        <w:keepNext w:val="0"/>
        <w:keepLines w:val="0"/>
        <w:pageBreakBefore w:val="0"/>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4.残疾人就业政策：本项目对残疾人福利性单位视同小型、微型企业，符合条件的残疾人福利性单位在参加政府采购活动时，应当提供《残疾人福利性单位声明函》，残疾人福利单位标准详见《关于促进残疾人就业政府采购政策的通知》财库〔2017〕141号。</w:t>
      </w:r>
    </w:p>
    <w:p w14:paraId="5320D311">
      <w:pPr>
        <w:keepNext w:val="0"/>
        <w:keepLines w:val="0"/>
        <w:pageBreakBefore w:val="0"/>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5.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企业标准详见《关于政府采购支持监狱企业发展有关问题的通知》财库〔2014〕68号。</w:t>
      </w:r>
    </w:p>
    <w:p w14:paraId="41F48CF8">
      <w:pPr>
        <w:keepNext w:val="0"/>
        <w:keepLines w:val="0"/>
        <w:pageBreakBefore w:val="0"/>
        <w:spacing w:before="120" w:after="120" w:line="460" w:lineRule="exact"/>
        <w:jc w:val="left"/>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三</w:t>
      </w:r>
      <w:r>
        <w:rPr>
          <w:rFonts w:hint="eastAsia" w:ascii="宋体" w:hAnsi="宋体" w:eastAsia="宋体" w:cs="宋体"/>
          <w:b/>
          <w:color w:val="auto"/>
          <w:lang w:val="en-US" w:eastAsia="zh-CN"/>
        </w:rPr>
        <w:t>、</w:t>
      </w:r>
      <w:r>
        <w:rPr>
          <w:rFonts w:hint="eastAsia" w:ascii="宋体" w:hAnsi="宋体"/>
          <w:b/>
          <w:color w:val="auto"/>
          <w:sz w:val="24"/>
          <w:szCs w:val="24"/>
          <w:highlight w:val="none"/>
        </w:rPr>
        <w:t>评标方法与评标标准</w:t>
      </w:r>
    </w:p>
    <w:tbl>
      <w:tblPr>
        <w:tblStyle w:val="51"/>
        <w:tblpPr w:leftFromText="180" w:rightFromText="180" w:vertAnchor="text" w:horzAnchor="page" w:tblpX="1180" w:tblpY="924"/>
        <w:tblW w:w="96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
        <w:gridCol w:w="1069"/>
        <w:gridCol w:w="1492"/>
        <w:gridCol w:w="6377"/>
      </w:tblGrid>
      <w:tr w14:paraId="3BC2E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blHeader/>
        </w:trPr>
        <w:tc>
          <w:tcPr>
            <w:tcW w:w="694" w:type="dxa"/>
            <w:noWrap w:val="0"/>
            <w:vAlign w:val="center"/>
          </w:tcPr>
          <w:p w14:paraId="586CBB67">
            <w:pPr>
              <w:spacing w:line="340" w:lineRule="exact"/>
              <w:jc w:val="center"/>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1069" w:type="dxa"/>
            <w:noWrap w:val="0"/>
            <w:vAlign w:val="center"/>
          </w:tcPr>
          <w:p w14:paraId="70DE0662">
            <w:pPr>
              <w:spacing w:line="340" w:lineRule="exact"/>
              <w:jc w:val="center"/>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rPr>
              <w:t>评分项</w:t>
            </w:r>
            <w:r>
              <w:rPr>
                <w:rFonts w:hint="eastAsia" w:ascii="宋体" w:hAnsi="宋体" w:cs="宋体"/>
                <w:b/>
                <w:bCs/>
                <w:color w:val="auto"/>
                <w:szCs w:val="21"/>
                <w:highlight w:val="none"/>
                <w:lang w:val="en-US" w:eastAsia="zh-CN"/>
              </w:rPr>
              <w:t>目</w:t>
            </w:r>
          </w:p>
        </w:tc>
        <w:tc>
          <w:tcPr>
            <w:tcW w:w="1492" w:type="dxa"/>
            <w:noWrap w:val="0"/>
            <w:vAlign w:val="center"/>
          </w:tcPr>
          <w:p w14:paraId="1FA5BA55">
            <w:pPr>
              <w:spacing w:line="340" w:lineRule="exact"/>
              <w:jc w:val="center"/>
              <w:rPr>
                <w:rFonts w:ascii="宋体" w:hAnsi="宋体" w:cs="宋体"/>
                <w:b/>
                <w:bCs/>
                <w:color w:val="auto"/>
                <w:szCs w:val="21"/>
                <w:highlight w:val="none"/>
              </w:rPr>
            </w:pPr>
            <w:r>
              <w:rPr>
                <w:rFonts w:hint="eastAsia" w:ascii="宋体" w:hAnsi="宋体" w:cs="宋体"/>
                <w:b/>
                <w:bCs/>
                <w:color w:val="auto"/>
                <w:szCs w:val="21"/>
                <w:highlight w:val="none"/>
                <w:lang w:val="en-US" w:eastAsia="zh-CN"/>
              </w:rPr>
              <w:t>满分</w:t>
            </w:r>
            <w:r>
              <w:rPr>
                <w:rFonts w:hint="eastAsia" w:ascii="宋体" w:hAnsi="宋体" w:cs="宋体"/>
                <w:b/>
                <w:bCs/>
                <w:color w:val="auto"/>
                <w:szCs w:val="21"/>
                <w:highlight w:val="none"/>
              </w:rPr>
              <w:t>分值</w:t>
            </w:r>
          </w:p>
        </w:tc>
        <w:tc>
          <w:tcPr>
            <w:tcW w:w="6377" w:type="dxa"/>
            <w:noWrap w:val="0"/>
            <w:vAlign w:val="top"/>
          </w:tcPr>
          <w:p w14:paraId="39B7887D">
            <w:pPr>
              <w:spacing w:line="340" w:lineRule="exact"/>
              <w:jc w:val="center"/>
              <w:rPr>
                <w:rFonts w:ascii="宋体" w:hAnsi="宋体" w:cs="宋体"/>
                <w:b/>
                <w:bCs/>
                <w:color w:val="auto"/>
                <w:szCs w:val="21"/>
                <w:highlight w:val="none"/>
              </w:rPr>
            </w:pPr>
            <w:r>
              <w:rPr>
                <w:rFonts w:hint="eastAsia" w:ascii="宋体" w:hAnsi="宋体" w:cs="宋体"/>
                <w:b/>
                <w:bCs/>
                <w:color w:val="auto"/>
                <w:szCs w:val="21"/>
                <w:highlight w:val="none"/>
              </w:rPr>
              <w:t>评审标准</w:t>
            </w:r>
            <w:r>
              <w:rPr>
                <w:rFonts w:hint="eastAsia" w:ascii="宋体" w:hAnsi="宋体" w:cs="宋体"/>
                <w:b/>
                <w:bCs/>
                <w:color w:val="auto"/>
                <w:szCs w:val="21"/>
                <w:highlight w:val="none"/>
                <w:lang w:val="en-US" w:eastAsia="zh-CN"/>
              </w:rPr>
              <w:t>细则</w:t>
            </w:r>
          </w:p>
        </w:tc>
      </w:tr>
      <w:tr w14:paraId="3F33D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rPr>
        <w:tc>
          <w:tcPr>
            <w:tcW w:w="694" w:type="dxa"/>
            <w:noWrap w:val="0"/>
            <w:vAlign w:val="center"/>
          </w:tcPr>
          <w:p w14:paraId="3C58EBE3">
            <w:pPr>
              <w:jc w:val="center"/>
              <w:rPr>
                <w:rFonts w:hint="eastAsia"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一</w:t>
            </w:r>
          </w:p>
        </w:tc>
        <w:tc>
          <w:tcPr>
            <w:tcW w:w="1069" w:type="dxa"/>
            <w:noWrap w:val="0"/>
            <w:vAlign w:val="center"/>
          </w:tcPr>
          <w:p w14:paraId="4965E3A5">
            <w:pPr>
              <w:jc w:val="center"/>
              <w:rPr>
                <w:rFonts w:hint="eastAsia"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价格</w:t>
            </w:r>
          </w:p>
          <w:p w14:paraId="58B856F0">
            <w:pPr>
              <w:jc w:val="center"/>
              <w:rPr>
                <w:rFonts w:hint="default"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部分</w:t>
            </w:r>
          </w:p>
          <w:p w14:paraId="0A79EC69">
            <w:pPr>
              <w:jc w:val="center"/>
              <w:rPr>
                <w:rFonts w:hint="eastAsia"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20分</w:t>
            </w:r>
          </w:p>
        </w:tc>
        <w:tc>
          <w:tcPr>
            <w:tcW w:w="1492" w:type="dxa"/>
            <w:noWrap w:val="0"/>
            <w:vAlign w:val="center"/>
          </w:tcPr>
          <w:p w14:paraId="43A162BA">
            <w:pPr>
              <w:jc w:val="center"/>
              <w:rPr>
                <w:rFonts w:hint="eastAsia"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价格</w:t>
            </w:r>
          </w:p>
          <w:p w14:paraId="7DE200C9">
            <w:pPr>
              <w:jc w:val="center"/>
              <w:rPr>
                <w:rFonts w:hint="eastAsia"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20分</w:t>
            </w:r>
          </w:p>
        </w:tc>
        <w:tc>
          <w:tcPr>
            <w:tcW w:w="6377" w:type="dxa"/>
            <w:noWrap w:val="0"/>
            <w:vAlign w:val="center"/>
          </w:tcPr>
          <w:p w14:paraId="7952D7B9">
            <w:pPr>
              <w:spacing w:line="240" w:lineRule="auto"/>
              <w:ind w:firstLine="420"/>
              <w:jc w:val="left"/>
              <w:rPr>
                <w:rFonts w:hint="eastAsia" w:ascii="宋体" w:hAnsi="宋体" w:eastAsia="宋体" w:cs="宋体"/>
                <w:color w:val="FF0000"/>
                <w:szCs w:val="24"/>
                <w:lang w:bidi="ar"/>
              </w:rPr>
            </w:pPr>
            <w:r>
              <w:rPr>
                <w:rFonts w:hint="eastAsia" w:ascii="宋体" w:hAnsi="宋体" w:eastAsia="宋体" w:cs="宋体"/>
                <w:color w:val="auto"/>
                <w:szCs w:val="24"/>
                <w:lang w:bidi="ar"/>
              </w:rPr>
              <w:t>满足招标文件要求且投标价格最低的有效投标报价为评标基准价，其价格分为满分</w:t>
            </w:r>
            <w:r>
              <w:rPr>
                <w:rFonts w:hint="eastAsia" w:ascii="宋体" w:hAnsi="宋体" w:eastAsia="宋体" w:cs="宋体"/>
                <w:color w:val="auto"/>
                <w:szCs w:val="24"/>
                <w:lang w:val="en-US" w:eastAsia="zh-CN" w:bidi="ar"/>
              </w:rPr>
              <w:t>20</w:t>
            </w:r>
            <w:r>
              <w:rPr>
                <w:rFonts w:hint="eastAsia" w:ascii="宋体" w:hAnsi="宋体" w:eastAsia="宋体" w:cs="宋体"/>
                <w:color w:val="auto"/>
                <w:szCs w:val="24"/>
                <w:lang w:bidi="ar"/>
              </w:rPr>
              <w:t>分</w:t>
            </w:r>
            <w:r>
              <w:rPr>
                <w:rFonts w:hint="eastAsia" w:ascii="宋体" w:hAnsi="宋体" w:eastAsia="宋体" w:cs="宋体"/>
                <w:color w:val="auto"/>
                <w:szCs w:val="24"/>
                <w:lang w:eastAsia="zh-CN" w:bidi="ar"/>
              </w:rPr>
              <w:t>，</w:t>
            </w:r>
            <w:r>
              <w:rPr>
                <w:rFonts w:hint="eastAsia" w:ascii="宋体" w:hAnsi="宋体" w:eastAsia="宋体" w:cs="宋体"/>
                <w:color w:val="auto"/>
                <w:szCs w:val="24"/>
                <w:lang w:bidi="ar"/>
              </w:rPr>
              <w:t>其他投标人的价格分统一按照下列公式计算：投标报价得分=（评标基准价/投标报价）×</w:t>
            </w:r>
            <w:r>
              <w:rPr>
                <w:rFonts w:hint="eastAsia" w:ascii="宋体" w:hAnsi="宋体" w:eastAsia="宋体" w:cs="宋体"/>
                <w:color w:val="auto"/>
                <w:szCs w:val="24"/>
                <w:lang w:val="en-US" w:eastAsia="zh-CN" w:bidi="ar"/>
              </w:rPr>
              <w:t>20</w:t>
            </w:r>
            <w:r>
              <w:rPr>
                <w:rFonts w:hint="eastAsia" w:ascii="宋体" w:hAnsi="宋体" w:eastAsia="宋体" w:cs="宋体"/>
                <w:color w:val="auto"/>
                <w:szCs w:val="24"/>
                <w:lang w:bidi="ar"/>
              </w:rPr>
              <w:t>，（小数点后保留2位，第三位四舍五入）</w:t>
            </w:r>
            <w:r>
              <w:rPr>
                <w:rFonts w:hint="eastAsia" w:ascii="宋体" w:hAnsi="宋体" w:eastAsia="宋体" w:cs="宋体"/>
                <w:color w:val="auto"/>
                <w:szCs w:val="24"/>
                <w:lang w:eastAsia="zh-CN" w:bidi="ar"/>
              </w:rPr>
              <w:t>。</w:t>
            </w:r>
          </w:p>
        </w:tc>
      </w:tr>
      <w:tr w14:paraId="577C9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694" w:type="dxa"/>
            <w:vMerge w:val="restart"/>
            <w:noWrap w:val="0"/>
            <w:vAlign w:val="center"/>
          </w:tcPr>
          <w:p w14:paraId="38E7FDE6">
            <w:pPr>
              <w:jc w:val="center"/>
              <w:rPr>
                <w:rFonts w:hint="eastAsia" w:ascii="宋体" w:hAnsi="宋体" w:eastAsia="宋体" w:cs="Times New Roman"/>
                <w:b w:val="0"/>
                <w:bCs w:val="0"/>
                <w:color w:val="auto"/>
                <w:sz w:val="22"/>
                <w:szCs w:val="22"/>
                <w:lang w:val="en-US" w:eastAsia="zh-CN"/>
              </w:rPr>
            </w:pPr>
            <w:r>
              <w:rPr>
                <w:rFonts w:hint="eastAsia" w:ascii="宋体" w:hAnsi="宋体" w:eastAsia="宋体" w:cs="Times New Roman"/>
                <w:b w:val="0"/>
                <w:bCs w:val="0"/>
                <w:color w:val="auto"/>
                <w:sz w:val="22"/>
                <w:szCs w:val="22"/>
                <w:lang w:val="en-US" w:eastAsia="zh-CN"/>
              </w:rPr>
              <w:t>二</w:t>
            </w:r>
          </w:p>
          <w:p w14:paraId="4C19BBAA">
            <w:pPr>
              <w:jc w:val="center"/>
              <w:rPr>
                <w:rFonts w:hint="eastAsia" w:ascii="宋体" w:hAnsi="宋体" w:eastAsia="宋体" w:cs="Times New Roman"/>
                <w:b w:val="0"/>
                <w:bCs w:val="0"/>
                <w:color w:val="auto"/>
                <w:sz w:val="22"/>
                <w:szCs w:val="22"/>
                <w:lang w:val="en-US" w:eastAsia="zh-CN"/>
              </w:rPr>
            </w:pPr>
          </w:p>
        </w:tc>
        <w:tc>
          <w:tcPr>
            <w:tcW w:w="1069" w:type="dxa"/>
            <w:vMerge w:val="restart"/>
            <w:noWrap w:val="0"/>
            <w:vAlign w:val="center"/>
          </w:tcPr>
          <w:p w14:paraId="45CA9A3B">
            <w:pPr>
              <w:jc w:val="center"/>
              <w:rPr>
                <w:rFonts w:hint="eastAsia" w:ascii="宋体" w:hAnsi="宋体" w:eastAsia="宋体" w:cs="Times New Roman"/>
                <w:b w:val="0"/>
                <w:bCs w:val="0"/>
                <w:color w:val="auto"/>
                <w:sz w:val="22"/>
                <w:szCs w:val="22"/>
                <w:highlight w:val="none"/>
                <w:lang w:val="en-US" w:eastAsia="zh-CN"/>
              </w:rPr>
            </w:pPr>
            <w:r>
              <w:rPr>
                <w:rFonts w:hint="eastAsia" w:ascii="宋体" w:hAnsi="宋体" w:eastAsia="宋体" w:cs="Times New Roman"/>
                <w:b w:val="0"/>
                <w:bCs w:val="0"/>
                <w:color w:val="auto"/>
                <w:sz w:val="22"/>
                <w:szCs w:val="22"/>
                <w:highlight w:val="none"/>
                <w:lang w:val="en-US" w:eastAsia="zh-CN"/>
              </w:rPr>
              <w:t>商务</w:t>
            </w:r>
          </w:p>
          <w:p w14:paraId="4E86717B">
            <w:pPr>
              <w:jc w:val="center"/>
              <w:rPr>
                <w:rFonts w:hint="eastAsia" w:ascii="宋体" w:hAnsi="宋体" w:eastAsia="宋体" w:cs="Times New Roman"/>
                <w:b w:val="0"/>
                <w:bCs w:val="0"/>
                <w:color w:val="auto"/>
                <w:sz w:val="22"/>
                <w:szCs w:val="22"/>
                <w:highlight w:val="none"/>
                <w:lang w:val="en-US" w:eastAsia="zh-CN"/>
              </w:rPr>
            </w:pPr>
            <w:r>
              <w:rPr>
                <w:rFonts w:hint="eastAsia" w:ascii="宋体" w:hAnsi="宋体" w:eastAsia="宋体" w:cs="Times New Roman"/>
                <w:b w:val="0"/>
                <w:bCs w:val="0"/>
                <w:color w:val="auto"/>
                <w:sz w:val="22"/>
                <w:szCs w:val="22"/>
                <w:highlight w:val="none"/>
                <w:lang w:val="en-US" w:eastAsia="zh-CN"/>
              </w:rPr>
              <w:t>部分</w:t>
            </w:r>
          </w:p>
          <w:p w14:paraId="5496469F">
            <w:pPr>
              <w:jc w:val="center"/>
              <w:rPr>
                <w:rFonts w:hint="eastAsia" w:ascii="宋体" w:hAnsi="宋体" w:eastAsia="宋体" w:cs="Times New Roman"/>
                <w:b w:val="0"/>
                <w:bCs w:val="0"/>
                <w:color w:val="auto"/>
                <w:sz w:val="22"/>
                <w:szCs w:val="22"/>
                <w:highlight w:val="none"/>
                <w:lang w:val="en-US" w:eastAsia="zh-CN"/>
              </w:rPr>
            </w:pPr>
            <w:r>
              <w:rPr>
                <w:rFonts w:hint="eastAsia" w:ascii="宋体" w:hAnsi="宋体" w:cs="Times New Roman"/>
                <w:b w:val="0"/>
                <w:bCs w:val="0"/>
                <w:color w:val="auto"/>
                <w:sz w:val="22"/>
                <w:szCs w:val="22"/>
                <w:highlight w:val="none"/>
                <w:lang w:val="en-US" w:eastAsia="zh-CN"/>
              </w:rPr>
              <w:t>35</w:t>
            </w:r>
            <w:r>
              <w:rPr>
                <w:rFonts w:hint="eastAsia" w:ascii="宋体" w:hAnsi="宋体" w:eastAsia="宋体" w:cs="Times New Roman"/>
                <w:b w:val="0"/>
                <w:bCs w:val="0"/>
                <w:color w:val="auto"/>
                <w:sz w:val="22"/>
                <w:szCs w:val="22"/>
                <w:highlight w:val="none"/>
                <w:lang w:val="en-US" w:eastAsia="zh-CN"/>
              </w:rPr>
              <w:t>分</w:t>
            </w:r>
          </w:p>
        </w:tc>
        <w:tc>
          <w:tcPr>
            <w:tcW w:w="1492" w:type="dxa"/>
            <w:vMerge w:val="restart"/>
            <w:noWrap w:val="0"/>
            <w:vAlign w:val="center"/>
          </w:tcPr>
          <w:p w14:paraId="5F810D98">
            <w:pPr>
              <w:jc w:val="center"/>
              <w:rPr>
                <w:rFonts w:hint="eastAsia"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 xml:space="preserve">综合实力 </w:t>
            </w:r>
            <w:r>
              <w:rPr>
                <w:rFonts w:hint="eastAsia" w:ascii="宋体" w:hAnsi="宋体" w:cs="Times New Roman"/>
                <w:b w:val="0"/>
                <w:bCs w:val="0"/>
                <w:sz w:val="22"/>
                <w:szCs w:val="22"/>
                <w:lang w:val="en-US" w:eastAsia="zh-CN"/>
              </w:rPr>
              <w:t>（</w:t>
            </w:r>
            <w:r>
              <w:rPr>
                <w:rFonts w:hint="eastAsia" w:ascii="宋体" w:hAnsi="宋体" w:eastAsia="宋体" w:cs="Times New Roman"/>
                <w:b w:val="0"/>
                <w:bCs w:val="0"/>
                <w:sz w:val="22"/>
                <w:szCs w:val="22"/>
                <w:lang w:val="en-US" w:eastAsia="zh-CN"/>
              </w:rPr>
              <w:t>1</w:t>
            </w:r>
            <w:r>
              <w:rPr>
                <w:rFonts w:hint="eastAsia" w:ascii="宋体" w:hAnsi="宋体" w:cs="Times New Roman"/>
                <w:b w:val="0"/>
                <w:bCs w:val="0"/>
                <w:sz w:val="22"/>
                <w:szCs w:val="22"/>
                <w:lang w:val="en-US" w:eastAsia="zh-CN"/>
              </w:rPr>
              <w:t>1</w:t>
            </w:r>
            <w:r>
              <w:rPr>
                <w:rFonts w:hint="eastAsia" w:ascii="宋体" w:hAnsi="宋体" w:eastAsia="宋体" w:cs="Times New Roman"/>
                <w:b w:val="0"/>
                <w:bCs w:val="0"/>
                <w:sz w:val="22"/>
                <w:szCs w:val="22"/>
                <w:lang w:val="en-US" w:eastAsia="zh-CN"/>
              </w:rPr>
              <w:t xml:space="preserve"> 分</w:t>
            </w:r>
            <w:r>
              <w:rPr>
                <w:rFonts w:hint="eastAsia" w:ascii="宋体" w:hAnsi="宋体" w:cs="Times New Roman"/>
                <w:b w:val="0"/>
                <w:bCs w:val="0"/>
                <w:sz w:val="22"/>
                <w:szCs w:val="22"/>
                <w:lang w:val="en-US" w:eastAsia="zh-CN"/>
              </w:rPr>
              <w:t>）</w:t>
            </w:r>
          </w:p>
        </w:tc>
        <w:tc>
          <w:tcPr>
            <w:tcW w:w="6377" w:type="dxa"/>
            <w:noWrap w:val="0"/>
            <w:vAlign w:val="center"/>
          </w:tcPr>
          <w:p w14:paraId="34E4EF19">
            <w:pPr>
              <w:spacing w:line="240" w:lineRule="auto"/>
              <w:ind w:firstLine="420"/>
              <w:jc w:val="left"/>
              <w:rPr>
                <w:rFonts w:hint="eastAsia" w:ascii="宋体" w:hAnsi="宋体" w:eastAsia="宋体" w:cs="宋体"/>
                <w:color w:val="auto"/>
                <w:szCs w:val="24"/>
                <w:lang w:eastAsia="zh-CN" w:bidi="ar"/>
              </w:rPr>
            </w:pPr>
            <w:r>
              <w:rPr>
                <w:rFonts w:hint="eastAsia" w:ascii="宋体" w:hAnsi="宋体" w:eastAsia="宋体" w:cs="宋体"/>
                <w:color w:val="auto"/>
                <w:szCs w:val="24"/>
                <w:lang w:val="en-US" w:eastAsia="zh-CN" w:bidi="ar"/>
              </w:rPr>
              <w:t>1.</w:t>
            </w:r>
            <w:r>
              <w:rPr>
                <w:rFonts w:hint="eastAsia" w:ascii="宋体" w:hAnsi="宋体" w:eastAsia="宋体" w:cs="宋体"/>
                <w:color w:val="auto"/>
                <w:szCs w:val="24"/>
                <w:lang w:bidi="ar"/>
              </w:rPr>
              <w:t>人员配备</w:t>
            </w:r>
            <w:r>
              <w:rPr>
                <w:rFonts w:hint="eastAsia" w:ascii="宋体" w:hAnsi="宋体" w:eastAsia="宋体" w:cs="宋体"/>
                <w:color w:val="auto"/>
                <w:szCs w:val="24"/>
                <w:lang w:eastAsia="zh-CN" w:bidi="ar"/>
              </w:rPr>
              <w:t>（</w:t>
            </w:r>
            <w:r>
              <w:rPr>
                <w:rFonts w:hint="eastAsia" w:ascii="宋体" w:hAnsi="宋体" w:eastAsia="宋体" w:cs="宋体"/>
                <w:color w:val="auto"/>
                <w:szCs w:val="24"/>
                <w:lang w:val="en-US" w:eastAsia="zh-CN" w:bidi="ar"/>
              </w:rPr>
              <w:t>6分</w:t>
            </w:r>
            <w:r>
              <w:rPr>
                <w:rFonts w:hint="eastAsia" w:ascii="宋体" w:hAnsi="宋体" w:eastAsia="宋体" w:cs="宋体"/>
                <w:color w:val="auto"/>
                <w:szCs w:val="24"/>
                <w:lang w:eastAsia="zh-CN" w:bidi="ar"/>
              </w:rPr>
              <w:t>）：</w:t>
            </w:r>
          </w:p>
          <w:p w14:paraId="381AB984">
            <w:pPr>
              <w:spacing w:line="240" w:lineRule="auto"/>
              <w:ind w:firstLine="420"/>
              <w:jc w:val="left"/>
              <w:rPr>
                <w:rFonts w:hint="eastAsia" w:ascii="宋体" w:hAnsi="宋体" w:eastAsia="宋体" w:cs="宋体"/>
                <w:color w:val="auto"/>
                <w:szCs w:val="24"/>
                <w:lang w:eastAsia="zh-CN" w:bidi="ar"/>
              </w:rPr>
            </w:pPr>
            <w:r>
              <w:rPr>
                <w:rFonts w:hint="eastAsia" w:ascii="宋体" w:hAnsi="宋体" w:eastAsia="宋体" w:cs="宋体"/>
                <w:color w:val="auto"/>
                <w:szCs w:val="24"/>
                <w:highlight w:val="none"/>
                <w:lang w:bidi="ar"/>
              </w:rPr>
              <w:t>投标人为本项目配备的人员具备CT设备维修经验并接受过正规培训的，提</w:t>
            </w:r>
            <w:r>
              <w:rPr>
                <w:rFonts w:hint="eastAsia" w:ascii="宋体" w:hAnsi="宋体" w:cs="宋体"/>
                <w:color w:val="auto"/>
                <w:szCs w:val="24"/>
                <w:highlight w:val="none"/>
                <w:lang w:val="en-US" w:eastAsia="zh-CN" w:bidi="ar"/>
              </w:rPr>
              <w:t>供培训</w:t>
            </w:r>
            <w:r>
              <w:rPr>
                <w:rFonts w:hint="eastAsia" w:ascii="宋体" w:hAnsi="宋体" w:eastAsia="宋体" w:cs="宋体"/>
                <w:color w:val="auto"/>
                <w:szCs w:val="24"/>
                <w:highlight w:val="none"/>
                <w:lang w:bidi="ar"/>
              </w:rPr>
              <w:t>证书文件</w:t>
            </w:r>
            <w:r>
              <w:rPr>
                <w:rFonts w:hint="eastAsia" w:ascii="宋体" w:hAnsi="宋体" w:cs="宋体"/>
                <w:color w:val="auto"/>
                <w:szCs w:val="24"/>
                <w:highlight w:val="none"/>
                <w:lang w:val="en-US" w:eastAsia="zh-CN" w:bidi="ar"/>
              </w:rPr>
              <w:t>原件扫描件</w:t>
            </w:r>
            <w:r>
              <w:rPr>
                <w:rFonts w:hint="eastAsia" w:ascii="宋体" w:hAnsi="宋体" w:eastAsia="宋体" w:cs="宋体"/>
                <w:color w:val="auto"/>
                <w:szCs w:val="24"/>
                <w:highlight w:val="none"/>
                <w:lang w:bidi="ar"/>
              </w:rPr>
              <w:t>，有1人得2分，最多得6分</w:t>
            </w:r>
            <w:r>
              <w:rPr>
                <w:rFonts w:hint="eastAsia" w:ascii="宋体" w:hAnsi="宋体" w:cs="宋体"/>
                <w:color w:val="auto"/>
                <w:szCs w:val="24"/>
                <w:highlight w:val="none"/>
                <w:lang w:eastAsia="zh-CN" w:bidi="ar"/>
              </w:rPr>
              <w:t>。</w:t>
            </w:r>
            <w:r>
              <w:rPr>
                <w:rFonts w:hint="eastAsia" w:ascii="宋体" w:hAnsi="宋体" w:eastAsia="宋体" w:cs="宋体"/>
                <w:color w:val="auto"/>
                <w:szCs w:val="24"/>
                <w:highlight w:val="none"/>
                <w:lang w:bidi="ar"/>
              </w:rPr>
              <w:t>（请在投标文件中提供相关人员取得合格的培训证书</w:t>
            </w:r>
            <w:r>
              <w:rPr>
                <w:rFonts w:hint="eastAsia" w:ascii="宋体" w:hAnsi="宋体" w:cs="宋体"/>
                <w:color w:val="auto"/>
                <w:szCs w:val="24"/>
                <w:highlight w:val="none"/>
                <w:lang w:val="en-US" w:eastAsia="zh-CN" w:bidi="ar"/>
              </w:rPr>
              <w:t>原件扫描件</w:t>
            </w:r>
            <w:r>
              <w:rPr>
                <w:rFonts w:hint="eastAsia" w:ascii="宋体" w:hAnsi="宋体" w:eastAsia="宋体" w:cs="宋体"/>
                <w:color w:val="auto"/>
                <w:szCs w:val="24"/>
                <w:highlight w:val="none"/>
                <w:lang w:bidi="ar"/>
              </w:rPr>
              <w:t>，不提供不得分）</w:t>
            </w:r>
            <w:r>
              <w:rPr>
                <w:rFonts w:hint="eastAsia" w:ascii="宋体" w:hAnsi="宋体" w:cs="宋体"/>
                <w:color w:val="auto"/>
                <w:szCs w:val="24"/>
                <w:highlight w:val="none"/>
                <w:lang w:eastAsia="zh-CN" w:bidi="ar"/>
              </w:rPr>
              <w:t>。</w:t>
            </w:r>
          </w:p>
        </w:tc>
      </w:tr>
      <w:tr w14:paraId="2CD28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694" w:type="dxa"/>
            <w:vMerge w:val="continue"/>
            <w:noWrap w:val="0"/>
            <w:vAlign w:val="center"/>
          </w:tcPr>
          <w:p w14:paraId="7FDFD0FF">
            <w:pPr>
              <w:spacing w:line="240" w:lineRule="auto"/>
              <w:ind w:firstLine="422"/>
              <w:jc w:val="left"/>
            </w:pPr>
          </w:p>
        </w:tc>
        <w:tc>
          <w:tcPr>
            <w:tcW w:w="1069" w:type="dxa"/>
            <w:vMerge w:val="continue"/>
            <w:noWrap w:val="0"/>
            <w:vAlign w:val="center"/>
          </w:tcPr>
          <w:p w14:paraId="09241D02">
            <w:pPr>
              <w:spacing w:line="240" w:lineRule="auto"/>
              <w:ind w:firstLine="422"/>
              <w:jc w:val="left"/>
            </w:pPr>
          </w:p>
        </w:tc>
        <w:tc>
          <w:tcPr>
            <w:tcW w:w="1492" w:type="dxa"/>
            <w:vMerge w:val="continue"/>
            <w:noWrap w:val="0"/>
            <w:vAlign w:val="center"/>
          </w:tcPr>
          <w:p w14:paraId="4C5367D6">
            <w:pPr>
              <w:jc w:val="center"/>
              <w:rPr>
                <w:rFonts w:hint="eastAsia" w:ascii="宋体" w:hAnsi="宋体" w:eastAsia="宋体" w:cs="Times New Roman"/>
                <w:b w:val="0"/>
                <w:bCs w:val="0"/>
                <w:sz w:val="22"/>
                <w:szCs w:val="22"/>
                <w:lang w:val="en-US" w:eastAsia="zh-CN"/>
              </w:rPr>
            </w:pPr>
          </w:p>
        </w:tc>
        <w:tc>
          <w:tcPr>
            <w:tcW w:w="6377" w:type="dxa"/>
            <w:noWrap w:val="0"/>
            <w:vAlign w:val="center"/>
          </w:tcPr>
          <w:p w14:paraId="070BA666">
            <w:pPr>
              <w:spacing w:line="240" w:lineRule="auto"/>
              <w:ind w:firstLine="420"/>
              <w:jc w:val="left"/>
              <w:rPr>
                <w:rFonts w:hint="eastAsia" w:ascii="宋体" w:hAnsi="宋体" w:eastAsia="宋体" w:cs="宋体"/>
                <w:color w:val="auto"/>
                <w:szCs w:val="24"/>
                <w:lang w:eastAsia="zh-CN" w:bidi="ar"/>
              </w:rPr>
            </w:pPr>
            <w:r>
              <w:rPr>
                <w:rFonts w:hint="eastAsia" w:ascii="宋体" w:hAnsi="宋体" w:eastAsia="宋体" w:cs="宋体"/>
                <w:color w:val="auto"/>
                <w:szCs w:val="24"/>
                <w:lang w:val="en-US" w:eastAsia="zh-CN" w:bidi="ar"/>
              </w:rPr>
              <w:t>2.</w:t>
            </w:r>
            <w:r>
              <w:rPr>
                <w:rFonts w:hint="eastAsia" w:ascii="宋体" w:hAnsi="宋体" w:eastAsia="宋体" w:cs="宋体"/>
                <w:color w:val="auto"/>
                <w:szCs w:val="24"/>
                <w:lang w:bidi="ar"/>
              </w:rPr>
              <w:t>维修配件</w:t>
            </w:r>
            <w:r>
              <w:rPr>
                <w:rFonts w:hint="eastAsia" w:ascii="宋体" w:hAnsi="宋体" w:eastAsia="宋体" w:cs="宋体"/>
                <w:color w:val="auto"/>
                <w:szCs w:val="24"/>
                <w:lang w:eastAsia="zh-CN" w:bidi="ar"/>
              </w:rPr>
              <w:t>（</w:t>
            </w:r>
            <w:r>
              <w:rPr>
                <w:rFonts w:hint="eastAsia" w:ascii="宋体" w:hAnsi="宋体" w:eastAsia="宋体" w:cs="宋体"/>
                <w:color w:val="auto"/>
                <w:szCs w:val="24"/>
                <w:lang w:val="en-US" w:eastAsia="zh-CN" w:bidi="ar"/>
              </w:rPr>
              <w:t>5分</w:t>
            </w:r>
            <w:r>
              <w:rPr>
                <w:rFonts w:hint="eastAsia" w:ascii="宋体" w:hAnsi="宋体" w:eastAsia="宋体" w:cs="宋体"/>
                <w:color w:val="auto"/>
                <w:szCs w:val="24"/>
                <w:lang w:eastAsia="zh-CN" w:bidi="ar"/>
              </w:rPr>
              <w:t>）：</w:t>
            </w:r>
          </w:p>
          <w:p w14:paraId="42C086AB">
            <w:pPr>
              <w:spacing w:line="240" w:lineRule="auto"/>
              <w:ind w:firstLine="420"/>
              <w:jc w:val="left"/>
              <w:rPr>
                <w:rFonts w:hint="eastAsia" w:ascii="宋体" w:hAnsi="宋体" w:eastAsia="宋体" w:cs="宋体"/>
                <w:color w:val="auto"/>
                <w:szCs w:val="24"/>
                <w:lang w:val="en-US" w:eastAsia="zh-CN" w:bidi="ar"/>
              </w:rPr>
            </w:pPr>
            <w:r>
              <w:rPr>
                <w:rFonts w:hint="eastAsia" w:ascii="宋体" w:hAnsi="宋体" w:eastAsia="宋体" w:cs="宋体"/>
                <w:color w:val="auto"/>
                <w:szCs w:val="24"/>
                <w:highlight w:val="none"/>
                <w:lang w:bidi="ar"/>
              </w:rPr>
              <w:t>投标人承诺提供维修关键零部件（包含球管、探测器、高压发生器、随机配置的后处理工作站等；不包含其他第三方设备）为原厂同型号匹配备件的承诺函</w:t>
            </w:r>
            <w:r>
              <w:rPr>
                <w:rFonts w:hint="eastAsia" w:ascii="宋体" w:hAnsi="宋体" w:cs="宋体"/>
                <w:color w:val="auto"/>
                <w:szCs w:val="24"/>
                <w:highlight w:val="none"/>
                <w:lang w:eastAsia="zh-CN" w:bidi="ar"/>
              </w:rPr>
              <w:t>（</w:t>
            </w:r>
            <w:r>
              <w:rPr>
                <w:rFonts w:hint="eastAsia" w:ascii="宋体" w:hAnsi="宋体" w:cs="宋体"/>
                <w:color w:val="auto"/>
                <w:szCs w:val="24"/>
                <w:highlight w:val="none"/>
                <w:lang w:val="en-US" w:eastAsia="zh-CN" w:bidi="ar"/>
              </w:rPr>
              <w:t>格式自拟</w:t>
            </w:r>
            <w:r>
              <w:rPr>
                <w:rFonts w:hint="eastAsia" w:ascii="宋体" w:hAnsi="宋体" w:cs="宋体"/>
                <w:color w:val="auto"/>
                <w:szCs w:val="24"/>
                <w:highlight w:val="none"/>
                <w:lang w:eastAsia="zh-CN" w:bidi="ar"/>
              </w:rPr>
              <w:t>）</w:t>
            </w:r>
            <w:r>
              <w:rPr>
                <w:rFonts w:hint="eastAsia" w:ascii="宋体" w:hAnsi="宋体" w:eastAsia="宋体" w:cs="宋体"/>
                <w:color w:val="auto"/>
                <w:szCs w:val="24"/>
                <w:highlight w:val="none"/>
                <w:lang w:bidi="ar"/>
              </w:rPr>
              <w:t>，且投标时需提供同型号匹配球管（型号为：CTR1740 cqnm）</w:t>
            </w:r>
            <w:r>
              <w:rPr>
                <w:rFonts w:hint="eastAsia" w:ascii="宋体" w:hAnsi="宋体" w:cs="宋体"/>
                <w:color w:val="auto"/>
                <w:szCs w:val="24"/>
                <w:highlight w:val="none"/>
                <w:lang w:val="en-US" w:eastAsia="zh-CN" w:bidi="ar"/>
              </w:rPr>
              <w:t>报</w:t>
            </w:r>
            <w:r>
              <w:rPr>
                <w:rFonts w:hint="eastAsia" w:ascii="宋体" w:hAnsi="宋体" w:eastAsia="宋体" w:cs="宋体"/>
                <w:color w:val="auto"/>
                <w:szCs w:val="24"/>
                <w:highlight w:val="none"/>
                <w:lang w:bidi="ar"/>
              </w:rPr>
              <w:t>关单的（2021年~2024年三年中任意一年的报关单）</w:t>
            </w:r>
            <w:r>
              <w:rPr>
                <w:rFonts w:hint="eastAsia" w:ascii="宋体" w:hAnsi="宋体" w:cs="宋体"/>
                <w:color w:val="auto"/>
                <w:szCs w:val="24"/>
                <w:highlight w:val="none"/>
                <w:lang w:val="en-US" w:eastAsia="zh-CN" w:bidi="ar"/>
              </w:rPr>
              <w:t>原件扫描件</w:t>
            </w:r>
            <w:r>
              <w:rPr>
                <w:rFonts w:hint="eastAsia" w:ascii="宋体" w:hAnsi="宋体" w:eastAsia="宋体" w:cs="宋体"/>
                <w:color w:val="auto"/>
                <w:szCs w:val="24"/>
                <w:highlight w:val="none"/>
                <w:lang w:bidi="ar"/>
              </w:rPr>
              <w:t>，不提供或提供的证明材料不齐全的不得分。</w:t>
            </w:r>
          </w:p>
        </w:tc>
      </w:tr>
      <w:tr w14:paraId="38510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trPr>
        <w:tc>
          <w:tcPr>
            <w:tcW w:w="694" w:type="dxa"/>
            <w:vMerge w:val="continue"/>
            <w:noWrap w:val="0"/>
            <w:vAlign w:val="center"/>
          </w:tcPr>
          <w:p w14:paraId="7D09410C">
            <w:pPr>
              <w:spacing w:line="240" w:lineRule="auto"/>
              <w:ind w:firstLine="422"/>
              <w:jc w:val="left"/>
              <w:rPr>
                <w:rFonts w:hint="eastAsia" w:ascii="宋体" w:hAnsi="宋体" w:eastAsia="宋体" w:cs="Times New Roman"/>
                <w:b w:val="0"/>
                <w:bCs w:val="0"/>
                <w:color w:val="auto"/>
                <w:sz w:val="22"/>
                <w:szCs w:val="22"/>
                <w:highlight w:val="yellow"/>
                <w:lang w:val="en-US" w:eastAsia="zh-CN"/>
              </w:rPr>
            </w:pPr>
          </w:p>
        </w:tc>
        <w:tc>
          <w:tcPr>
            <w:tcW w:w="1069" w:type="dxa"/>
            <w:vMerge w:val="continue"/>
            <w:noWrap w:val="0"/>
            <w:vAlign w:val="center"/>
          </w:tcPr>
          <w:p w14:paraId="4231EA95">
            <w:pPr>
              <w:spacing w:line="240" w:lineRule="auto"/>
              <w:ind w:firstLine="422"/>
              <w:jc w:val="left"/>
              <w:rPr>
                <w:rFonts w:hint="eastAsia" w:ascii="宋体" w:hAnsi="宋体" w:eastAsia="宋体" w:cs="Times New Roman"/>
                <w:b w:val="0"/>
                <w:bCs w:val="0"/>
                <w:color w:val="auto"/>
                <w:sz w:val="22"/>
                <w:szCs w:val="22"/>
                <w:highlight w:val="yellow"/>
                <w:lang w:val="en-US" w:eastAsia="zh-CN"/>
              </w:rPr>
            </w:pPr>
          </w:p>
        </w:tc>
        <w:tc>
          <w:tcPr>
            <w:tcW w:w="1492" w:type="dxa"/>
            <w:vMerge w:val="restart"/>
            <w:noWrap w:val="0"/>
            <w:vAlign w:val="center"/>
          </w:tcPr>
          <w:p w14:paraId="64143696">
            <w:pPr>
              <w:jc w:val="center"/>
              <w:rPr>
                <w:rFonts w:hint="eastAsia"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 xml:space="preserve">履约能力分 </w:t>
            </w:r>
            <w:r>
              <w:rPr>
                <w:rFonts w:hint="eastAsia" w:ascii="宋体" w:hAnsi="宋体" w:cs="Times New Roman"/>
                <w:b w:val="0"/>
                <w:bCs w:val="0"/>
                <w:sz w:val="22"/>
                <w:szCs w:val="22"/>
                <w:lang w:val="en-US" w:eastAsia="zh-CN"/>
              </w:rPr>
              <w:t>（</w:t>
            </w:r>
            <w:r>
              <w:rPr>
                <w:rFonts w:hint="eastAsia" w:ascii="宋体" w:hAnsi="宋体" w:eastAsia="宋体" w:cs="Times New Roman"/>
                <w:b w:val="0"/>
                <w:bCs w:val="0"/>
                <w:sz w:val="22"/>
                <w:szCs w:val="22"/>
                <w:lang w:val="en-US" w:eastAsia="zh-CN"/>
              </w:rPr>
              <w:t>2</w:t>
            </w:r>
            <w:r>
              <w:rPr>
                <w:rFonts w:hint="eastAsia" w:ascii="宋体" w:hAnsi="宋体" w:cs="Times New Roman"/>
                <w:b w:val="0"/>
                <w:bCs w:val="0"/>
                <w:sz w:val="22"/>
                <w:szCs w:val="22"/>
                <w:lang w:val="en-US" w:eastAsia="zh-CN"/>
              </w:rPr>
              <w:t>4</w:t>
            </w:r>
            <w:r>
              <w:rPr>
                <w:rFonts w:hint="eastAsia" w:ascii="宋体" w:hAnsi="宋体" w:eastAsia="宋体" w:cs="Times New Roman"/>
                <w:b w:val="0"/>
                <w:bCs w:val="0"/>
                <w:sz w:val="22"/>
                <w:szCs w:val="22"/>
                <w:lang w:val="en-US" w:eastAsia="zh-CN"/>
              </w:rPr>
              <w:t xml:space="preserve"> 分</w:t>
            </w:r>
            <w:r>
              <w:rPr>
                <w:rFonts w:hint="eastAsia" w:ascii="宋体" w:hAnsi="宋体" w:cs="Times New Roman"/>
                <w:b w:val="0"/>
                <w:bCs w:val="0"/>
                <w:sz w:val="22"/>
                <w:szCs w:val="22"/>
                <w:lang w:val="en-US" w:eastAsia="zh-CN"/>
              </w:rPr>
              <w:t>）</w:t>
            </w:r>
          </w:p>
        </w:tc>
        <w:tc>
          <w:tcPr>
            <w:tcW w:w="6377" w:type="dxa"/>
            <w:noWrap w:val="0"/>
            <w:vAlign w:val="center"/>
          </w:tcPr>
          <w:p w14:paraId="6ECF5BCC">
            <w:pPr>
              <w:spacing w:line="240" w:lineRule="auto"/>
              <w:jc w:val="left"/>
              <w:rPr>
                <w:rFonts w:hint="eastAsia" w:ascii="宋体" w:hAnsi="宋体" w:eastAsia="宋体" w:cs="宋体"/>
                <w:color w:val="auto"/>
                <w:szCs w:val="24"/>
                <w:lang w:eastAsia="zh-CN" w:bidi="ar"/>
              </w:rPr>
            </w:pPr>
            <w:r>
              <w:rPr>
                <w:rFonts w:hint="eastAsia" w:ascii="宋体" w:hAnsi="宋体" w:eastAsia="宋体" w:cs="宋体"/>
                <w:color w:val="auto"/>
                <w:szCs w:val="24"/>
                <w:lang w:val="en-US" w:eastAsia="zh-CN" w:bidi="ar"/>
              </w:rPr>
              <w:t>1.</w:t>
            </w:r>
            <w:r>
              <w:rPr>
                <w:rFonts w:hint="eastAsia" w:ascii="宋体" w:hAnsi="宋体" w:eastAsia="宋体" w:cs="宋体"/>
                <w:color w:val="auto"/>
                <w:szCs w:val="24"/>
                <w:lang w:bidi="ar"/>
              </w:rPr>
              <w:t>类似项目业绩</w:t>
            </w:r>
            <w:r>
              <w:rPr>
                <w:rFonts w:hint="eastAsia" w:ascii="宋体" w:hAnsi="宋体" w:eastAsia="宋体" w:cs="宋体"/>
                <w:color w:val="auto"/>
                <w:szCs w:val="24"/>
                <w:lang w:eastAsia="zh-CN" w:bidi="ar"/>
              </w:rPr>
              <w:t>（</w:t>
            </w:r>
            <w:r>
              <w:rPr>
                <w:rFonts w:hint="eastAsia" w:ascii="宋体" w:hAnsi="宋体" w:eastAsia="宋体" w:cs="宋体"/>
                <w:color w:val="auto"/>
                <w:szCs w:val="24"/>
                <w:lang w:val="en-US" w:eastAsia="zh-CN" w:bidi="ar"/>
              </w:rPr>
              <w:t>6分</w:t>
            </w:r>
            <w:r>
              <w:rPr>
                <w:rFonts w:hint="eastAsia" w:ascii="宋体" w:hAnsi="宋体" w:eastAsia="宋体" w:cs="宋体"/>
                <w:color w:val="auto"/>
                <w:szCs w:val="24"/>
                <w:lang w:eastAsia="zh-CN" w:bidi="ar"/>
              </w:rPr>
              <w:t>）：</w:t>
            </w:r>
          </w:p>
          <w:p w14:paraId="36C63D3C">
            <w:pPr>
              <w:spacing w:line="240" w:lineRule="auto"/>
              <w:ind w:firstLine="420"/>
              <w:jc w:val="left"/>
              <w:rPr>
                <w:rFonts w:hint="eastAsia" w:ascii="宋体" w:hAnsi="宋体" w:eastAsia="宋体" w:cs="宋体"/>
                <w:color w:val="auto"/>
                <w:szCs w:val="24"/>
                <w:lang w:eastAsia="zh-CN" w:bidi="ar"/>
              </w:rPr>
            </w:pPr>
            <w:r>
              <w:rPr>
                <w:rFonts w:hint="eastAsia" w:ascii="宋体" w:hAnsi="宋体" w:eastAsia="宋体" w:cs="宋体"/>
                <w:color w:val="auto"/>
                <w:szCs w:val="24"/>
                <w:lang w:bidi="ar"/>
              </w:rPr>
              <w:t>投标人提供2022年以来承接的设备整机全保项目</w:t>
            </w:r>
            <w:r>
              <w:rPr>
                <w:rFonts w:hint="eastAsia" w:ascii="宋体" w:hAnsi="宋体" w:cs="宋体"/>
                <w:color w:val="auto"/>
                <w:szCs w:val="24"/>
                <w:lang w:val="en-US" w:eastAsia="zh-CN" w:bidi="ar"/>
              </w:rPr>
              <w:t>类似</w:t>
            </w:r>
            <w:r>
              <w:rPr>
                <w:rFonts w:hint="eastAsia" w:ascii="宋体" w:hAnsi="宋体" w:eastAsia="宋体" w:cs="宋体"/>
                <w:color w:val="auto"/>
                <w:szCs w:val="24"/>
                <w:lang w:bidi="ar"/>
              </w:rPr>
              <w:t>业绩的，有一个得2分，最高得6分</w:t>
            </w:r>
            <w:r>
              <w:rPr>
                <w:rFonts w:hint="eastAsia" w:ascii="宋体" w:hAnsi="宋体" w:eastAsia="宋体" w:cs="宋体"/>
                <w:color w:val="auto"/>
                <w:szCs w:val="24"/>
                <w:lang w:eastAsia="zh-CN" w:bidi="ar"/>
              </w:rPr>
              <w:t>。</w:t>
            </w:r>
          </w:p>
          <w:p w14:paraId="614289B6">
            <w:pPr>
              <w:spacing w:line="240" w:lineRule="auto"/>
              <w:ind w:firstLine="420"/>
              <w:jc w:val="left"/>
              <w:rPr>
                <w:rFonts w:hint="eastAsia" w:ascii="宋体" w:hAnsi="宋体" w:eastAsia="宋体" w:cs="宋体"/>
                <w:color w:val="auto"/>
                <w:szCs w:val="24"/>
                <w:lang w:val="en-US" w:eastAsia="zh-CN" w:bidi="ar"/>
              </w:rPr>
            </w:pPr>
            <w:r>
              <w:rPr>
                <w:rFonts w:hint="eastAsia" w:ascii="宋体" w:hAnsi="宋体" w:eastAsia="宋体" w:cs="宋体"/>
                <w:color w:val="auto"/>
                <w:szCs w:val="24"/>
                <w:lang w:val="en-US" w:eastAsia="zh-CN" w:bidi="ar"/>
              </w:rPr>
              <w:t>注：</w:t>
            </w:r>
            <w:r>
              <w:rPr>
                <w:color w:val="auto"/>
              </w:rPr>
              <w:t>投标人须提供</w:t>
            </w:r>
            <w:bookmarkStart w:id="178" w:name="_Hlk196647314"/>
            <w:r>
              <w:rPr>
                <w:color w:val="auto"/>
              </w:rPr>
              <w:t>合同</w:t>
            </w:r>
            <w:bookmarkEnd w:id="178"/>
            <w:r>
              <w:rPr>
                <w:rFonts w:hint="eastAsia"/>
                <w:color w:val="auto"/>
              </w:rPr>
              <w:t>原件扫描件</w:t>
            </w:r>
            <w:r>
              <w:rPr>
                <w:color w:val="auto"/>
              </w:rPr>
              <w:t>，</w:t>
            </w:r>
            <w:r>
              <w:rPr>
                <w:rFonts w:hint="eastAsia"/>
                <w:color w:val="auto"/>
                <w:lang w:val="en-US" w:eastAsia="zh-CN"/>
              </w:rPr>
              <w:t>扫描</w:t>
            </w:r>
            <w:r>
              <w:rPr>
                <w:color w:val="auto"/>
              </w:rPr>
              <w:t>件内容能够体现合同名称、签订双方名称、签订时间、主要服务内容、双方盖章页，未提供或</w:t>
            </w:r>
            <w:r>
              <w:rPr>
                <w:rFonts w:hint="eastAsia"/>
                <w:color w:val="auto"/>
                <w:lang w:val="en-US" w:eastAsia="zh-CN"/>
              </w:rPr>
              <w:t>提供</w:t>
            </w:r>
            <w:r>
              <w:rPr>
                <w:color w:val="auto"/>
              </w:rPr>
              <w:t>不符合要求的不得分。</w:t>
            </w:r>
          </w:p>
        </w:tc>
      </w:tr>
      <w:tr w14:paraId="63500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694" w:type="dxa"/>
            <w:vMerge w:val="continue"/>
            <w:noWrap w:val="0"/>
            <w:vAlign w:val="center"/>
          </w:tcPr>
          <w:p w14:paraId="6C1D1BB3">
            <w:pPr>
              <w:spacing w:line="240" w:lineRule="auto"/>
              <w:ind w:firstLine="422"/>
              <w:jc w:val="left"/>
              <w:rPr>
                <w:rFonts w:hint="eastAsia" w:ascii="宋体" w:hAnsi="宋体" w:eastAsia="宋体" w:cs="Times New Roman"/>
                <w:b w:val="0"/>
                <w:bCs w:val="0"/>
                <w:color w:val="auto"/>
                <w:sz w:val="22"/>
                <w:szCs w:val="22"/>
                <w:highlight w:val="yellow"/>
                <w:lang w:val="en-US" w:eastAsia="zh-CN"/>
              </w:rPr>
            </w:pPr>
          </w:p>
        </w:tc>
        <w:tc>
          <w:tcPr>
            <w:tcW w:w="1069" w:type="dxa"/>
            <w:vMerge w:val="continue"/>
            <w:noWrap w:val="0"/>
            <w:vAlign w:val="center"/>
          </w:tcPr>
          <w:p w14:paraId="7B2831B1">
            <w:pPr>
              <w:spacing w:line="240" w:lineRule="auto"/>
              <w:ind w:firstLine="422"/>
              <w:jc w:val="left"/>
              <w:rPr>
                <w:rFonts w:hint="eastAsia" w:ascii="宋体" w:hAnsi="宋体" w:eastAsia="宋体" w:cs="Times New Roman"/>
                <w:b w:val="0"/>
                <w:bCs w:val="0"/>
                <w:color w:val="auto"/>
                <w:sz w:val="22"/>
                <w:szCs w:val="22"/>
                <w:highlight w:val="yellow"/>
                <w:lang w:val="en-US" w:eastAsia="zh-CN"/>
              </w:rPr>
            </w:pPr>
          </w:p>
        </w:tc>
        <w:tc>
          <w:tcPr>
            <w:tcW w:w="1492" w:type="dxa"/>
            <w:vMerge w:val="continue"/>
            <w:noWrap w:val="0"/>
            <w:vAlign w:val="center"/>
          </w:tcPr>
          <w:p w14:paraId="25287D83">
            <w:pPr>
              <w:jc w:val="center"/>
              <w:rPr>
                <w:rFonts w:hint="eastAsia" w:ascii="宋体" w:hAnsi="宋体" w:eastAsia="宋体" w:cs="Times New Roman"/>
                <w:b w:val="0"/>
                <w:bCs w:val="0"/>
                <w:sz w:val="22"/>
                <w:szCs w:val="22"/>
                <w:lang w:val="en-US" w:eastAsia="zh-CN"/>
              </w:rPr>
            </w:pPr>
          </w:p>
        </w:tc>
        <w:tc>
          <w:tcPr>
            <w:tcW w:w="6377" w:type="dxa"/>
            <w:noWrap w:val="0"/>
            <w:vAlign w:val="center"/>
          </w:tcPr>
          <w:p w14:paraId="51A63C34">
            <w:pPr>
              <w:spacing w:line="240" w:lineRule="auto"/>
              <w:jc w:val="left"/>
              <w:rPr>
                <w:rFonts w:hint="eastAsia" w:ascii="宋体" w:hAnsi="宋体" w:eastAsia="宋体" w:cs="宋体"/>
                <w:color w:val="auto"/>
                <w:szCs w:val="24"/>
                <w:lang w:val="en-US" w:eastAsia="zh-CN" w:bidi="ar"/>
              </w:rPr>
            </w:pPr>
            <w:r>
              <w:rPr>
                <w:rFonts w:hint="eastAsia" w:ascii="宋体" w:hAnsi="宋体" w:eastAsia="宋体" w:cs="宋体"/>
                <w:color w:val="auto"/>
                <w:szCs w:val="24"/>
                <w:lang w:val="en-US" w:eastAsia="zh-CN" w:bidi="ar"/>
              </w:rPr>
              <w:t>2.</w:t>
            </w:r>
            <w:r>
              <w:rPr>
                <w:rFonts w:hint="eastAsia" w:ascii="宋体" w:hAnsi="宋体" w:eastAsia="宋体" w:cs="宋体"/>
                <w:color w:val="auto"/>
                <w:szCs w:val="24"/>
                <w:lang w:bidi="ar"/>
              </w:rPr>
              <w:t>报修平台</w:t>
            </w:r>
            <w:r>
              <w:rPr>
                <w:rFonts w:hint="eastAsia" w:ascii="宋体" w:hAnsi="宋体" w:eastAsia="宋体" w:cs="宋体"/>
                <w:color w:val="auto"/>
                <w:szCs w:val="24"/>
                <w:lang w:eastAsia="zh-CN" w:bidi="ar"/>
              </w:rPr>
              <w:t>（</w:t>
            </w:r>
            <w:r>
              <w:rPr>
                <w:rFonts w:hint="eastAsia" w:ascii="宋体" w:hAnsi="宋体" w:eastAsia="宋体" w:cs="宋体"/>
                <w:color w:val="auto"/>
                <w:szCs w:val="24"/>
                <w:lang w:val="en-US" w:eastAsia="zh-CN" w:bidi="ar"/>
              </w:rPr>
              <w:t>4分</w:t>
            </w:r>
            <w:r>
              <w:rPr>
                <w:rFonts w:hint="eastAsia" w:ascii="宋体" w:hAnsi="宋体" w:eastAsia="宋体" w:cs="宋体"/>
                <w:color w:val="auto"/>
                <w:szCs w:val="24"/>
                <w:lang w:eastAsia="zh-CN" w:bidi="ar"/>
              </w:rPr>
              <w:t>）：</w:t>
            </w:r>
          </w:p>
          <w:p w14:paraId="2DA64E76">
            <w:pPr>
              <w:spacing w:line="240" w:lineRule="auto"/>
              <w:ind w:firstLine="420"/>
              <w:jc w:val="left"/>
              <w:rPr>
                <w:rFonts w:hint="eastAsia" w:ascii="宋体" w:hAnsi="宋体" w:eastAsia="宋体" w:cs="宋体"/>
                <w:color w:val="auto"/>
                <w:szCs w:val="24"/>
                <w:lang w:val="en-US" w:eastAsia="zh-CN" w:bidi="ar"/>
              </w:rPr>
            </w:pPr>
            <w:r>
              <w:rPr>
                <w:rFonts w:hint="eastAsia" w:ascii="宋体" w:hAnsi="宋体" w:eastAsia="宋体" w:cs="宋体"/>
                <w:color w:val="auto"/>
                <w:szCs w:val="24"/>
                <w:lang w:bidi="ar"/>
              </w:rPr>
              <w:t>投标人具备信息化报修平台，如微信报修平台，手机端报修 APP等，并有后台支持，可让采购方人员以图片和文字形式详细描述故障内容，便于用户准确进行故障报修，并实时知晓投标方维修工作的进度的故障报修，有一项得2分，最多4分。提供有效证明材料，未提供或提供不符合要求的不得分。</w:t>
            </w:r>
          </w:p>
        </w:tc>
      </w:tr>
      <w:tr w14:paraId="0BC1B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694" w:type="dxa"/>
            <w:vMerge w:val="continue"/>
            <w:noWrap w:val="0"/>
            <w:vAlign w:val="center"/>
          </w:tcPr>
          <w:p w14:paraId="03D0B3B4">
            <w:pPr>
              <w:spacing w:line="240" w:lineRule="auto"/>
              <w:ind w:firstLine="422"/>
              <w:jc w:val="left"/>
              <w:rPr>
                <w:rFonts w:hint="eastAsia" w:ascii="宋体" w:hAnsi="宋体" w:eastAsia="宋体" w:cs="Times New Roman"/>
                <w:b w:val="0"/>
                <w:bCs w:val="0"/>
                <w:color w:val="auto"/>
                <w:sz w:val="22"/>
                <w:szCs w:val="22"/>
                <w:highlight w:val="yellow"/>
                <w:lang w:val="en-US" w:eastAsia="zh-CN"/>
              </w:rPr>
            </w:pPr>
          </w:p>
        </w:tc>
        <w:tc>
          <w:tcPr>
            <w:tcW w:w="1069" w:type="dxa"/>
            <w:vMerge w:val="continue"/>
            <w:noWrap w:val="0"/>
            <w:vAlign w:val="center"/>
          </w:tcPr>
          <w:p w14:paraId="5F0E0589">
            <w:pPr>
              <w:spacing w:line="240" w:lineRule="auto"/>
              <w:ind w:firstLine="422"/>
              <w:jc w:val="left"/>
              <w:rPr>
                <w:rFonts w:hint="eastAsia" w:ascii="宋体" w:hAnsi="宋体" w:eastAsia="宋体" w:cs="Times New Roman"/>
                <w:b w:val="0"/>
                <w:bCs w:val="0"/>
                <w:color w:val="auto"/>
                <w:sz w:val="22"/>
                <w:szCs w:val="22"/>
                <w:highlight w:val="yellow"/>
                <w:lang w:val="en-US" w:eastAsia="zh-CN"/>
              </w:rPr>
            </w:pPr>
          </w:p>
        </w:tc>
        <w:tc>
          <w:tcPr>
            <w:tcW w:w="1492" w:type="dxa"/>
            <w:vMerge w:val="continue"/>
            <w:noWrap w:val="0"/>
            <w:vAlign w:val="center"/>
          </w:tcPr>
          <w:p w14:paraId="24B27B71">
            <w:pPr>
              <w:jc w:val="center"/>
              <w:rPr>
                <w:rFonts w:hint="eastAsia" w:ascii="宋体" w:hAnsi="宋体" w:eastAsia="宋体" w:cs="Times New Roman"/>
                <w:b w:val="0"/>
                <w:bCs w:val="0"/>
                <w:sz w:val="22"/>
                <w:szCs w:val="22"/>
                <w:lang w:val="en-US" w:eastAsia="zh-CN"/>
              </w:rPr>
            </w:pPr>
          </w:p>
        </w:tc>
        <w:tc>
          <w:tcPr>
            <w:tcW w:w="6377" w:type="dxa"/>
            <w:noWrap w:val="0"/>
            <w:vAlign w:val="center"/>
          </w:tcPr>
          <w:p w14:paraId="70F6B061">
            <w:pPr>
              <w:spacing w:line="240" w:lineRule="auto"/>
              <w:jc w:val="left"/>
              <w:rPr>
                <w:rFonts w:hint="eastAsia" w:ascii="宋体" w:hAnsi="宋体" w:eastAsia="宋体" w:cs="宋体"/>
                <w:color w:val="auto"/>
                <w:szCs w:val="24"/>
                <w:lang w:eastAsia="zh-CN" w:bidi="ar"/>
              </w:rPr>
            </w:pPr>
            <w:r>
              <w:rPr>
                <w:rFonts w:hint="eastAsia" w:ascii="宋体" w:hAnsi="宋体" w:eastAsia="宋体" w:cs="宋体"/>
                <w:color w:val="auto"/>
                <w:szCs w:val="24"/>
                <w:lang w:val="en-US" w:eastAsia="zh-CN" w:bidi="ar"/>
              </w:rPr>
              <w:t>3.</w:t>
            </w:r>
            <w:r>
              <w:rPr>
                <w:rFonts w:hint="eastAsia" w:ascii="宋体" w:hAnsi="宋体" w:eastAsia="宋体" w:cs="宋体"/>
                <w:color w:val="auto"/>
                <w:szCs w:val="24"/>
                <w:lang w:bidi="ar"/>
              </w:rPr>
              <w:t>远程诊断服务</w:t>
            </w:r>
            <w:r>
              <w:rPr>
                <w:rFonts w:hint="eastAsia" w:ascii="宋体" w:hAnsi="宋体" w:eastAsia="宋体" w:cs="宋体"/>
                <w:color w:val="auto"/>
                <w:szCs w:val="24"/>
                <w:lang w:eastAsia="zh-CN" w:bidi="ar"/>
              </w:rPr>
              <w:t>（</w:t>
            </w:r>
            <w:r>
              <w:rPr>
                <w:rFonts w:hint="eastAsia" w:ascii="宋体" w:hAnsi="宋体" w:cs="宋体"/>
                <w:color w:val="auto"/>
                <w:szCs w:val="24"/>
                <w:lang w:val="en-US" w:eastAsia="zh-CN" w:bidi="ar"/>
              </w:rPr>
              <w:t>4</w:t>
            </w:r>
            <w:r>
              <w:rPr>
                <w:rFonts w:hint="eastAsia" w:ascii="宋体" w:hAnsi="宋体" w:eastAsia="宋体" w:cs="宋体"/>
                <w:color w:val="auto"/>
                <w:szCs w:val="24"/>
                <w:lang w:bidi="ar"/>
              </w:rPr>
              <w:t>分</w:t>
            </w:r>
            <w:bookmarkStart w:id="201" w:name="_GoBack"/>
            <w:bookmarkEnd w:id="201"/>
            <w:r>
              <w:rPr>
                <w:rFonts w:hint="eastAsia" w:ascii="宋体" w:hAnsi="宋体" w:eastAsia="宋体" w:cs="宋体"/>
                <w:color w:val="auto"/>
                <w:szCs w:val="24"/>
                <w:lang w:eastAsia="zh-CN" w:bidi="ar"/>
              </w:rPr>
              <w:t>）：</w:t>
            </w:r>
          </w:p>
          <w:p w14:paraId="53848798">
            <w:pPr>
              <w:spacing w:line="240" w:lineRule="auto"/>
              <w:ind w:firstLine="420"/>
              <w:jc w:val="left"/>
              <w:rPr>
                <w:rFonts w:hint="default" w:ascii="宋体" w:hAnsi="宋体" w:eastAsia="宋体" w:cs="宋体"/>
                <w:color w:val="auto"/>
                <w:szCs w:val="24"/>
                <w:lang w:val="en-US" w:eastAsia="zh-CN" w:bidi="ar"/>
              </w:rPr>
            </w:pPr>
            <w:r>
              <w:rPr>
                <w:rFonts w:hint="eastAsia" w:ascii="宋体" w:hAnsi="宋体" w:eastAsia="宋体" w:cs="宋体"/>
                <w:color w:val="auto"/>
                <w:szCs w:val="24"/>
                <w:lang w:bidi="ar"/>
              </w:rPr>
              <w:t>投标人提供基于设备嵌入式远程连接方案的实时远程服务，以保证维修的及时性。投标人具有远程网络维修诊断系统的得</w:t>
            </w:r>
            <w:r>
              <w:rPr>
                <w:rFonts w:hint="eastAsia" w:ascii="宋体" w:hAnsi="宋体" w:cs="宋体"/>
                <w:color w:val="auto"/>
                <w:szCs w:val="24"/>
                <w:lang w:val="en-US" w:eastAsia="zh-CN" w:bidi="ar"/>
              </w:rPr>
              <w:t>4</w:t>
            </w:r>
            <w:r>
              <w:rPr>
                <w:rFonts w:hint="eastAsia" w:ascii="宋体" w:hAnsi="宋体" w:eastAsia="宋体" w:cs="宋体"/>
                <w:color w:val="auto"/>
                <w:szCs w:val="24"/>
                <w:lang w:bidi="ar"/>
              </w:rPr>
              <w:t>分</w:t>
            </w:r>
            <w:r>
              <w:rPr>
                <w:rFonts w:hint="eastAsia" w:ascii="宋体" w:hAnsi="宋体" w:cs="宋体"/>
                <w:color w:val="auto"/>
                <w:szCs w:val="24"/>
                <w:lang w:eastAsia="zh-CN" w:bidi="ar"/>
              </w:rPr>
              <w:t>。</w:t>
            </w:r>
            <w:r>
              <w:rPr>
                <w:rFonts w:hint="eastAsia" w:ascii="宋体" w:hAnsi="宋体" w:eastAsia="宋体" w:cs="宋体"/>
                <w:color w:val="auto"/>
                <w:szCs w:val="24"/>
                <w:lang w:bidi="ar"/>
              </w:rPr>
              <w:t xml:space="preserve"> 提供有效证明材料，未提供或提供不符合要求的不得分。</w:t>
            </w:r>
          </w:p>
        </w:tc>
      </w:tr>
      <w:tr w14:paraId="0B389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4" w:type="dxa"/>
            <w:vMerge w:val="continue"/>
            <w:noWrap w:val="0"/>
            <w:vAlign w:val="center"/>
          </w:tcPr>
          <w:p w14:paraId="5CCD6E2D">
            <w:pPr>
              <w:spacing w:line="300" w:lineRule="exact"/>
              <w:jc w:val="center"/>
              <w:rPr>
                <w:rFonts w:hint="eastAsia" w:ascii="宋体" w:hAnsi="宋体" w:eastAsia="宋体" w:cs="宋体"/>
                <w:b w:val="0"/>
                <w:bCs w:val="0"/>
                <w:color w:val="auto"/>
                <w:sz w:val="18"/>
                <w:szCs w:val="18"/>
                <w:highlight w:val="none"/>
                <w:lang w:eastAsia="zh-CN"/>
              </w:rPr>
            </w:pPr>
            <w:r>
              <w:rPr>
                <w:rFonts w:hint="eastAsia" w:ascii="宋体" w:hAnsi="宋体" w:cs="宋体"/>
                <w:b w:val="0"/>
                <w:bCs w:val="0"/>
                <w:color w:val="auto"/>
                <w:sz w:val="18"/>
                <w:szCs w:val="18"/>
                <w:highlight w:val="none"/>
                <w:lang w:eastAsia="zh-CN"/>
              </w:rPr>
              <w:t xml:space="preserve"> </w:t>
            </w:r>
          </w:p>
        </w:tc>
        <w:tc>
          <w:tcPr>
            <w:tcW w:w="1069" w:type="dxa"/>
            <w:vMerge w:val="continue"/>
            <w:noWrap w:val="0"/>
            <w:vAlign w:val="center"/>
          </w:tcPr>
          <w:p w14:paraId="23818712">
            <w:pPr>
              <w:spacing w:line="300" w:lineRule="exact"/>
              <w:jc w:val="center"/>
              <w:rPr>
                <w:rFonts w:ascii="宋体" w:hAnsi="宋体" w:cs="宋体"/>
                <w:b w:val="0"/>
                <w:bCs w:val="0"/>
                <w:color w:val="auto"/>
                <w:sz w:val="18"/>
                <w:szCs w:val="18"/>
                <w:highlight w:val="none"/>
              </w:rPr>
            </w:pPr>
          </w:p>
        </w:tc>
        <w:tc>
          <w:tcPr>
            <w:tcW w:w="1492" w:type="dxa"/>
            <w:vMerge w:val="continue"/>
            <w:noWrap w:val="0"/>
            <w:vAlign w:val="center"/>
          </w:tcPr>
          <w:p w14:paraId="410DC7F8">
            <w:pPr>
              <w:jc w:val="center"/>
              <w:rPr>
                <w:rFonts w:hint="eastAsia" w:ascii="宋体" w:hAnsi="宋体" w:eastAsia="宋体" w:cs="Times New Roman"/>
                <w:b w:val="0"/>
                <w:bCs w:val="0"/>
                <w:sz w:val="22"/>
                <w:szCs w:val="22"/>
                <w:lang w:val="en-US" w:eastAsia="zh-CN"/>
              </w:rPr>
            </w:pPr>
          </w:p>
        </w:tc>
        <w:tc>
          <w:tcPr>
            <w:tcW w:w="6377" w:type="dxa"/>
            <w:noWrap w:val="0"/>
            <w:vAlign w:val="center"/>
          </w:tcPr>
          <w:p w14:paraId="5D695EB7">
            <w:pPr>
              <w:spacing w:line="240" w:lineRule="auto"/>
              <w:jc w:val="left"/>
              <w:rPr>
                <w:rFonts w:hint="eastAsia" w:ascii="宋体" w:hAnsi="宋体" w:eastAsia="宋体" w:cs="宋体"/>
                <w:color w:val="auto"/>
                <w:szCs w:val="24"/>
                <w:lang w:eastAsia="zh-CN" w:bidi="ar"/>
              </w:rPr>
            </w:pPr>
            <w:r>
              <w:rPr>
                <w:rFonts w:hint="eastAsia" w:ascii="宋体" w:hAnsi="宋体" w:cs="宋体"/>
                <w:color w:val="auto"/>
                <w:szCs w:val="24"/>
                <w:lang w:val="en-US" w:eastAsia="zh-CN" w:bidi="ar"/>
              </w:rPr>
              <w:t>4.</w:t>
            </w:r>
            <w:r>
              <w:rPr>
                <w:rFonts w:hint="eastAsia" w:ascii="宋体" w:hAnsi="宋体" w:eastAsia="宋体" w:cs="宋体"/>
                <w:color w:val="auto"/>
                <w:szCs w:val="24"/>
                <w:lang w:bidi="ar"/>
              </w:rPr>
              <w:t>维修零部件</w:t>
            </w:r>
            <w:r>
              <w:rPr>
                <w:rFonts w:hint="eastAsia" w:ascii="宋体" w:hAnsi="宋体" w:eastAsia="宋体" w:cs="宋体"/>
                <w:color w:val="auto"/>
                <w:szCs w:val="24"/>
                <w:lang w:eastAsia="zh-CN" w:bidi="ar"/>
              </w:rPr>
              <w:t>（</w:t>
            </w:r>
            <w:r>
              <w:rPr>
                <w:rFonts w:hint="eastAsia" w:ascii="宋体" w:hAnsi="宋体" w:eastAsia="宋体" w:cs="宋体"/>
                <w:color w:val="auto"/>
                <w:szCs w:val="24"/>
                <w:lang w:bidi="ar"/>
              </w:rPr>
              <w:t>6分</w:t>
            </w:r>
            <w:r>
              <w:rPr>
                <w:rFonts w:hint="eastAsia" w:ascii="宋体" w:hAnsi="宋体" w:eastAsia="宋体" w:cs="宋体"/>
                <w:color w:val="auto"/>
                <w:szCs w:val="24"/>
                <w:lang w:eastAsia="zh-CN" w:bidi="ar"/>
              </w:rPr>
              <w:t>）：</w:t>
            </w:r>
          </w:p>
          <w:p w14:paraId="24440960">
            <w:pPr>
              <w:spacing w:line="240" w:lineRule="auto"/>
              <w:ind w:firstLine="420"/>
              <w:jc w:val="left"/>
              <w:rPr>
                <w:rFonts w:hint="eastAsia" w:ascii="宋体" w:hAnsi="宋体" w:eastAsia="宋体" w:cs="宋体"/>
                <w:color w:val="auto"/>
                <w:szCs w:val="24"/>
                <w:lang w:eastAsia="zh-CN" w:bidi="ar"/>
              </w:rPr>
            </w:pPr>
            <w:r>
              <w:rPr>
                <w:rFonts w:hint="eastAsia" w:ascii="宋体" w:hAnsi="宋体" w:eastAsia="宋体" w:cs="宋体"/>
                <w:color w:val="auto"/>
                <w:szCs w:val="24"/>
                <w:lang w:bidi="ar"/>
              </w:rPr>
              <w:t>投标人提供维修所用全部配件为原厂原装配件的，得6分。</w:t>
            </w:r>
            <w:r>
              <w:rPr>
                <w:rFonts w:hint="eastAsia" w:ascii="宋体" w:hAnsi="宋体" w:cs="宋体"/>
                <w:color w:val="auto"/>
                <w:szCs w:val="24"/>
                <w:lang w:val="en-US" w:eastAsia="zh-CN" w:bidi="ar"/>
              </w:rPr>
              <w:t>（</w:t>
            </w:r>
            <w:r>
              <w:rPr>
                <w:rFonts w:hint="eastAsia" w:ascii="宋体" w:hAnsi="宋体" w:eastAsia="宋体" w:cs="宋体"/>
                <w:color w:val="auto"/>
                <w:szCs w:val="24"/>
                <w:lang w:bidi="ar"/>
              </w:rPr>
              <w:t>请在投标文件中提供设备生产厂家的授权文件并提供配件清单</w:t>
            </w:r>
            <w:r>
              <w:rPr>
                <w:rFonts w:hint="eastAsia" w:ascii="宋体" w:hAnsi="宋体" w:cs="宋体"/>
                <w:color w:val="auto"/>
                <w:szCs w:val="24"/>
                <w:lang w:val="en-US" w:eastAsia="zh-CN" w:bidi="ar"/>
              </w:rPr>
              <w:t>的原件扫描件</w:t>
            </w:r>
            <w:r>
              <w:rPr>
                <w:rFonts w:hint="eastAsia" w:ascii="宋体" w:hAnsi="宋体" w:eastAsia="宋体" w:cs="宋体"/>
                <w:color w:val="auto"/>
                <w:szCs w:val="24"/>
                <w:lang w:bidi="ar"/>
              </w:rPr>
              <w:t>，</w:t>
            </w:r>
            <w:r>
              <w:rPr>
                <w:rFonts w:hint="eastAsia" w:ascii="宋体" w:hAnsi="宋体" w:cs="宋体"/>
                <w:color w:val="auto"/>
                <w:szCs w:val="24"/>
                <w:lang w:val="en-US" w:eastAsia="zh-CN" w:bidi="ar"/>
              </w:rPr>
              <w:t>未提供或提供不符合要求的不得分）</w:t>
            </w:r>
            <w:r>
              <w:rPr>
                <w:rFonts w:hint="eastAsia" w:ascii="宋体" w:hAnsi="宋体" w:eastAsia="宋体" w:cs="宋体"/>
                <w:color w:val="auto"/>
                <w:szCs w:val="24"/>
                <w:lang w:bidi="ar"/>
              </w:rPr>
              <w:t>。</w:t>
            </w:r>
          </w:p>
        </w:tc>
      </w:tr>
      <w:tr w14:paraId="7A0FB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1" w:hRule="atLeast"/>
        </w:trPr>
        <w:tc>
          <w:tcPr>
            <w:tcW w:w="694" w:type="dxa"/>
            <w:vMerge w:val="continue"/>
            <w:noWrap w:val="0"/>
            <w:vAlign w:val="center"/>
          </w:tcPr>
          <w:p w14:paraId="55211634">
            <w:pPr>
              <w:spacing w:line="300" w:lineRule="exact"/>
              <w:jc w:val="center"/>
              <w:rPr>
                <w:rFonts w:ascii="宋体" w:hAnsi="宋体" w:cs="宋体"/>
                <w:b w:val="0"/>
                <w:bCs w:val="0"/>
                <w:color w:val="auto"/>
                <w:sz w:val="18"/>
                <w:szCs w:val="18"/>
                <w:highlight w:val="none"/>
              </w:rPr>
            </w:pPr>
          </w:p>
        </w:tc>
        <w:tc>
          <w:tcPr>
            <w:tcW w:w="1069" w:type="dxa"/>
            <w:vMerge w:val="continue"/>
            <w:noWrap w:val="0"/>
            <w:vAlign w:val="center"/>
          </w:tcPr>
          <w:p w14:paraId="11F235E8">
            <w:pPr>
              <w:spacing w:line="300" w:lineRule="exact"/>
              <w:jc w:val="center"/>
              <w:rPr>
                <w:rFonts w:ascii="宋体" w:hAnsi="宋体" w:cs="宋体"/>
                <w:b w:val="0"/>
                <w:bCs w:val="0"/>
                <w:color w:val="auto"/>
                <w:sz w:val="18"/>
                <w:szCs w:val="18"/>
                <w:highlight w:val="none"/>
              </w:rPr>
            </w:pPr>
          </w:p>
        </w:tc>
        <w:tc>
          <w:tcPr>
            <w:tcW w:w="1492" w:type="dxa"/>
            <w:vMerge w:val="continue"/>
            <w:noWrap w:val="0"/>
            <w:vAlign w:val="center"/>
          </w:tcPr>
          <w:p w14:paraId="2692A000">
            <w:pPr>
              <w:jc w:val="center"/>
              <w:rPr>
                <w:rFonts w:hint="eastAsia" w:ascii="宋体" w:hAnsi="宋体" w:eastAsia="宋体" w:cs="Times New Roman"/>
                <w:b w:val="0"/>
                <w:bCs w:val="0"/>
                <w:sz w:val="22"/>
                <w:szCs w:val="22"/>
                <w:lang w:val="en-US" w:eastAsia="zh-CN"/>
              </w:rPr>
            </w:pPr>
          </w:p>
        </w:tc>
        <w:tc>
          <w:tcPr>
            <w:tcW w:w="6377" w:type="dxa"/>
            <w:noWrap w:val="0"/>
            <w:vAlign w:val="center"/>
          </w:tcPr>
          <w:p w14:paraId="7AF8037B">
            <w:pPr>
              <w:spacing w:line="240" w:lineRule="auto"/>
              <w:jc w:val="left"/>
              <w:rPr>
                <w:rFonts w:hint="eastAsia" w:ascii="宋体" w:hAnsi="宋体" w:eastAsia="宋体" w:cs="宋体"/>
                <w:color w:val="auto"/>
                <w:szCs w:val="24"/>
                <w:lang w:eastAsia="zh-CN" w:bidi="ar"/>
              </w:rPr>
            </w:pPr>
            <w:r>
              <w:rPr>
                <w:rFonts w:hint="eastAsia" w:ascii="宋体" w:hAnsi="宋体" w:cs="宋体"/>
                <w:color w:val="auto"/>
                <w:szCs w:val="24"/>
                <w:lang w:val="en-US" w:eastAsia="zh-CN" w:bidi="ar"/>
              </w:rPr>
              <w:t>5.</w:t>
            </w:r>
            <w:r>
              <w:rPr>
                <w:rFonts w:hint="eastAsia" w:ascii="宋体" w:hAnsi="宋体" w:eastAsia="宋体" w:cs="宋体"/>
                <w:color w:val="auto"/>
                <w:szCs w:val="24"/>
                <w:lang w:bidi="ar"/>
              </w:rPr>
              <w:t>安全升级</w:t>
            </w:r>
            <w:r>
              <w:rPr>
                <w:rFonts w:hint="eastAsia" w:ascii="宋体" w:hAnsi="宋体" w:eastAsia="宋体" w:cs="宋体"/>
                <w:color w:val="auto"/>
                <w:szCs w:val="24"/>
                <w:lang w:eastAsia="zh-CN" w:bidi="ar"/>
              </w:rPr>
              <w:t>（</w:t>
            </w:r>
            <w:r>
              <w:rPr>
                <w:rFonts w:hint="eastAsia" w:ascii="宋体" w:hAnsi="宋体" w:eastAsia="宋体" w:cs="宋体"/>
                <w:color w:val="auto"/>
                <w:szCs w:val="24"/>
                <w:lang w:bidi="ar"/>
              </w:rPr>
              <w:t xml:space="preserve"> 4分</w:t>
            </w:r>
            <w:r>
              <w:rPr>
                <w:rFonts w:hint="eastAsia" w:ascii="宋体" w:hAnsi="宋体" w:eastAsia="宋体" w:cs="宋体"/>
                <w:color w:val="auto"/>
                <w:szCs w:val="24"/>
                <w:lang w:eastAsia="zh-CN" w:bidi="ar"/>
              </w:rPr>
              <w:t>）：</w:t>
            </w:r>
          </w:p>
          <w:p w14:paraId="2901DA20">
            <w:pPr>
              <w:spacing w:line="240" w:lineRule="auto"/>
              <w:ind w:firstLine="420"/>
              <w:jc w:val="left"/>
              <w:rPr>
                <w:rFonts w:hint="default" w:ascii="宋体" w:hAnsi="宋体" w:eastAsia="宋体" w:cs="宋体"/>
                <w:color w:val="auto"/>
                <w:szCs w:val="24"/>
                <w:lang w:val="en-US" w:eastAsia="zh-CN" w:bidi="ar"/>
              </w:rPr>
            </w:pPr>
            <w:r>
              <w:rPr>
                <w:rFonts w:hint="eastAsia" w:ascii="宋体" w:hAnsi="宋体" w:eastAsia="宋体" w:cs="宋体"/>
                <w:color w:val="auto"/>
                <w:szCs w:val="24"/>
                <w:lang w:bidi="ar"/>
              </w:rPr>
              <w:t>投标人</w:t>
            </w:r>
            <w:r>
              <w:rPr>
                <w:rFonts w:hint="eastAsia" w:ascii="宋体" w:hAnsi="宋体" w:cs="宋体"/>
                <w:color w:val="auto"/>
                <w:szCs w:val="24"/>
                <w:lang w:val="en-US" w:eastAsia="zh-CN" w:bidi="ar"/>
              </w:rPr>
              <w:t>承诺</w:t>
            </w:r>
            <w:r>
              <w:rPr>
                <w:rFonts w:hint="eastAsia" w:ascii="宋体" w:hAnsi="宋体" w:eastAsia="宋体" w:cs="宋体"/>
                <w:color w:val="auto"/>
                <w:szCs w:val="24"/>
                <w:lang w:bidi="ar"/>
              </w:rPr>
              <w:t>本</w:t>
            </w:r>
            <w:r>
              <w:rPr>
                <w:rFonts w:hint="eastAsia" w:ascii="宋体" w:hAnsi="宋体" w:cs="宋体"/>
                <w:color w:val="auto"/>
                <w:szCs w:val="24"/>
                <w:lang w:val="en-US" w:eastAsia="zh-CN" w:bidi="ar"/>
              </w:rPr>
              <w:t>项目</w:t>
            </w:r>
            <w:r>
              <w:rPr>
                <w:rFonts w:hint="eastAsia" w:ascii="宋体" w:hAnsi="宋体" w:eastAsia="宋体" w:cs="宋体"/>
                <w:color w:val="auto"/>
                <w:szCs w:val="24"/>
                <w:lang w:bidi="ar"/>
              </w:rPr>
              <w:t>所涉及的系统软件、应用软件升级</w:t>
            </w:r>
            <w:r>
              <w:rPr>
                <w:rFonts w:hint="eastAsia" w:ascii="宋体" w:hAnsi="宋体" w:cs="宋体"/>
                <w:color w:val="auto"/>
                <w:szCs w:val="24"/>
                <w:lang w:eastAsia="zh-CN" w:bidi="ar"/>
              </w:rPr>
              <w:t>，</w:t>
            </w:r>
            <w:r>
              <w:rPr>
                <w:rFonts w:ascii="宋体" w:hAnsi="宋体" w:eastAsia="宋体" w:cs="宋体"/>
              </w:rPr>
              <w:t>必须在原厂规定的升级文件规定时间内完成，</w:t>
            </w:r>
            <w:r>
              <w:rPr>
                <w:rFonts w:hint="eastAsia" w:ascii="宋体" w:hAnsi="宋体" w:cs="宋体"/>
                <w:lang w:val="en-US" w:eastAsia="zh-CN"/>
              </w:rPr>
              <w:t>并</w:t>
            </w:r>
            <w:r>
              <w:rPr>
                <w:rFonts w:ascii="宋体" w:hAnsi="宋体" w:eastAsia="宋体" w:cs="宋体"/>
              </w:rPr>
              <w:t>保证</w:t>
            </w:r>
            <w:r>
              <w:rPr>
                <w:rFonts w:hint="eastAsia" w:ascii="宋体" w:hAnsi="宋体" w:cs="宋体"/>
                <w:lang w:val="en-US" w:eastAsia="zh-CN"/>
              </w:rPr>
              <w:t>升级后</w:t>
            </w:r>
            <w:r>
              <w:rPr>
                <w:rFonts w:ascii="宋体" w:hAnsi="宋体" w:eastAsia="宋体" w:cs="宋体"/>
              </w:rPr>
              <w:t>设备的完整性与可靠性。</w:t>
            </w:r>
            <w:r>
              <w:rPr>
                <w:rFonts w:hint="eastAsia" w:ascii="宋体" w:hAnsi="宋体" w:eastAsia="宋体" w:cs="宋体"/>
                <w:color w:val="auto"/>
                <w:szCs w:val="24"/>
                <w:lang w:bidi="ar"/>
              </w:rPr>
              <w:t>（请在投标文件中提供</w:t>
            </w:r>
            <w:r>
              <w:rPr>
                <w:rFonts w:hint="eastAsia" w:ascii="宋体" w:hAnsi="宋体" w:cs="宋体"/>
                <w:color w:val="auto"/>
                <w:szCs w:val="24"/>
                <w:lang w:val="en-US" w:eastAsia="zh-CN" w:bidi="ar"/>
              </w:rPr>
              <w:t>承诺书</w:t>
            </w:r>
            <w:r>
              <w:rPr>
                <w:rFonts w:hint="eastAsia" w:ascii="宋体" w:hAnsi="宋体" w:cs="宋体"/>
                <w:color w:val="auto"/>
                <w:szCs w:val="24"/>
                <w:highlight w:val="none"/>
                <w:lang w:eastAsia="zh-CN" w:bidi="ar"/>
              </w:rPr>
              <w:t>（</w:t>
            </w:r>
            <w:r>
              <w:rPr>
                <w:rFonts w:hint="eastAsia" w:ascii="宋体" w:hAnsi="宋体" w:cs="宋体"/>
                <w:color w:val="auto"/>
                <w:szCs w:val="24"/>
                <w:highlight w:val="none"/>
                <w:lang w:val="en-US" w:eastAsia="zh-CN" w:bidi="ar"/>
              </w:rPr>
              <w:t>格式自拟</w:t>
            </w:r>
            <w:r>
              <w:rPr>
                <w:rFonts w:hint="eastAsia" w:ascii="宋体" w:hAnsi="宋体" w:cs="宋体"/>
                <w:color w:val="auto"/>
                <w:szCs w:val="24"/>
                <w:highlight w:val="none"/>
                <w:lang w:eastAsia="zh-CN" w:bidi="ar"/>
              </w:rPr>
              <w:t>）</w:t>
            </w:r>
            <w:r>
              <w:rPr>
                <w:rFonts w:hint="eastAsia" w:ascii="宋体" w:hAnsi="宋体" w:eastAsia="宋体" w:cs="宋体"/>
                <w:color w:val="auto"/>
                <w:szCs w:val="24"/>
                <w:lang w:bidi="ar"/>
              </w:rPr>
              <w:t>，提供得4分，未提供或提供不符合要求的不得分）。</w:t>
            </w:r>
          </w:p>
        </w:tc>
      </w:tr>
      <w:tr w14:paraId="653B9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4" w:type="dxa"/>
            <w:vMerge w:val="restart"/>
            <w:noWrap w:val="0"/>
            <w:vAlign w:val="center"/>
          </w:tcPr>
          <w:p w14:paraId="0677FC28">
            <w:pPr>
              <w:jc w:val="center"/>
              <w:rPr>
                <w:rFonts w:hint="eastAsia" w:ascii="宋体" w:hAnsi="宋体" w:eastAsia="宋体" w:cs="Times New Roman"/>
                <w:b w:val="0"/>
                <w:bCs w:val="0"/>
                <w:color w:val="auto"/>
                <w:sz w:val="22"/>
                <w:szCs w:val="22"/>
                <w:lang w:val="en-US" w:eastAsia="zh-CN"/>
              </w:rPr>
            </w:pPr>
            <w:r>
              <w:rPr>
                <w:rFonts w:hint="eastAsia" w:ascii="宋体" w:hAnsi="宋体" w:eastAsia="宋体" w:cs="Times New Roman"/>
                <w:b w:val="0"/>
                <w:bCs w:val="0"/>
                <w:color w:val="auto"/>
                <w:sz w:val="22"/>
                <w:szCs w:val="22"/>
                <w:lang w:val="en-US" w:eastAsia="zh-CN"/>
              </w:rPr>
              <w:t>三</w:t>
            </w:r>
          </w:p>
        </w:tc>
        <w:tc>
          <w:tcPr>
            <w:tcW w:w="1069" w:type="dxa"/>
            <w:vMerge w:val="restart"/>
            <w:noWrap w:val="0"/>
            <w:vAlign w:val="center"/>
          </w:tcPr>
          <w:p w14:paraId="4802F4BB">
            <w:pPr>
              <w:jc w:val="center"/>
              <w:rPr>
                <w:rFonts w:hint="eastAsia" w:ascii="宋体" w:hAnsi="宋体" w:eastAsia="宋体" w:cs="Times New Roman"/>
                <w:b w:val="0"/>
                <w:bCs w:val="0"/>
                <w:color w:val="auto"/>
                <w:sz w:val="22"/>
                <w:szCs w:val="22"/>
                <w:highlight w:val="none"/>
                <w:lang w:val="en-US" w:eastAsia="zh-CN"/>
              </w:rPr>
            </w:pPr>
            <w:r>
              <w:rPr>
                <w:rFonts w:hint="eastAsia" w:ascii="宋体" w:hAnsi="宋体" w:eastAsia="宋体" w:cs="Times New Roman"/>
                <w:b w:val="0"/>
                <w:bCs w:val="0"/>
                <w:color w:val="auto"/>
                <w:sz w:val="22"/>
                <w:szCs w:val="22"/>
                <w:highlight w:val="none"/>
                <w:lang w:val="en-US" w:eastAsia="zh-CN"/>
              </w:rPr>
              <w:t>技术</w:t>
            </w:r>
          </w:p>
          <w:p w14:paraId="73E5C816">
            <w:pPr>
              <w:jc w:val="center"/>
              <w:rPr>
                <w:rFonts w:hint="eastAsia" w:ascii="宋体" w:hAnsi="宋体" w:eastAsia="宋体" w:cs="Times New Roman"/>
                <w:b w:val="0"/>
                <w:bCs w:val="0"/>
                <w:color w:val="auto"/>
                <w:sz w:val="22"/>
                <w:szCs w:val="22"/>
                <w:highlight w:val="none"/>
                <w:lang w:val="en-US" w:eastAsia="zh-CN"/>
              </w:rPr>
            </w:pPr>
            <w:r>
              <w:rPr>
                <w:rFonts w:hint="eastAsia" w:ascii="宋体" w:hAnsi="宋体" w:eastAsia="宋体" w:cs="Times New Roman"/>
                <w:b w:val="0"/>
                <w:bCs w:val="0"/>
                <w:color w:val="auto"/>
                <w:sz w:val="22"/>
                <w:szCs w:val="22"/>
                <w:highlight w:val="none"/>
                <w:lang w:val="en-US" w:eastAsia="zh-CN"/>
              </w:rPr>
              <w:t>方案</w:t>
            </w:r>
          </w:p>
          <w:p w14:paraId="71FF6BDD">
            <w:pPr>
              <w:jc w:val="center"/>
              <w:rPr>
                <w:rFonts w:hint="eastAsia" w:ascii="宋体" w:hAnsi="宋体" w:eastAsia="宋体" w:cs="Times New Roman"/>
                <w:b w:val="0"/>
                <w:bCs w:val="0"/>
                <w:color w:val="auto"/>
                <w:sz w:val="22"/>
                <w:szCs w:val="22"/>
                <w:highlight w:val="none"/>
                <w:lang w:val="en-US" w:eastAsia="zh-CN"/>
              </w:rPr>
            </w:pPr>
            <w:r>
              <w:rPr>
                <w:rFonts w:hint="eastAsia" w:ascii="宋体" w:hAnsi="宋体" w:cs="Times New Roman"/>
                <w:b w:val="0"/>
                <w:bCs w:val="0"/>
                <w:color w:val="auto"/>
                <w:sz w:val="22"/>
                <w:szCs w:val="22"/>
                <w:highlight w:val="none"/>
                <w:lang w:val="en-US" w:eastAsia="zh-CN"/>
              </w:rPr>
              <w:t>45</w:t>
            </w:r>
            <w:r>
              <w:rPr>
                <w:rFonts w:hint="eastAsia" w:ascii="宋体" w:hAnsi="宋体" w:eastAsia="宋体" w:cs="Times New Roman"/>
                <w:b w:val="0"/>
                <w:bCs w:val="0"/>
                <w:color w:val="auto"/>
                <w:sz w:val="22"/>
                <w:szCs w:val="22"/>
                <w:highlight w:val="none"/>
                <w:lang w:val="en-US" w:eastAsia="zh-CN"/>
              </w:rPr>
              <w:t>分</w:t>
            </w:r>
          </w:p>
        </w:tc>
        <w:tc>
          <w:tcPr>
            <w:tcW w:w="1492" w:type="dxa"/>
            <w:noWrap w:val="0"/>
            <w:vAlign w:val="center"/>
          </w:tcPr>
          <w:p w14:paraId="3BDB3BD0">
            <w:pPr>
              <w:jc w:val="center"/>
              <w:rPr>
                <w:rFonts w:hint="eastAsia"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维保管理制度与操作规范方案</w:t>
            </w:r>
            <w:r>
              <w:rPr>
                <w:rFonts w:hint="eastAsia" w:ascii="宋体" w:hAnsi="宋体" w:cs="Times New Roman"/>
                <w:b w:val="0"/>
                <w:bCs w:val="0"/>
                <w:sz w:val="22"/>
                <w:szCs w:val="22"/>
                <w:lang w:val="en-US" w:eastAsia="zh-CN"/>
              </w:rPr>
              <w:t>（</w:t>
            </w:r>
            <w:r>
              <w:rPr>
                <w:rFonts w:hint="eastAsia" w:ascii="宋体" w:hAnsi="宋体" w:cs="宋体"/>
                <w:color w:val="auto"/>
                <w:szCs w:val="24"/>
                <w:lang w:val="en-US" w:eastAsia="zh-CN" w:bidi="ar"/>
              </w:rPr>
              <w:t>9</w:t>
            </w:r>
            <w:r>
              <w:rPr>
                <w:rFonts w:hint="eastAsia" w:ascii="宋体" w:hAnsi="宋体" w:eastAsia="宋体" w:cs="宋体"/>
                <w:color w:val="auto"/>
                <w:szCs w:val="24"/>
                <w:lang w:bidi="ar"/>
              </w:rPr>
              <w:t>分</w:t>
            </w:r>
            <w:r>
              <w:rPr>
                <w:rFonts w:hint="eastAsia" w:ascii="宋体" w:hAnsi="宋体" w:cs="Times New Roman"/>
                <w:b w:val="0"/>
                <w:bCs w:val="0"/>
                <w:sz w:val="22"/>
                <w:szCs w:val="22"/>
                <w:lang w:val="en-US" w:eastAsia="zh-CN"/>
              </w:rPr>
              <w:t>）</w:t>
            </w:r>
          </w:p>
        </w:tc>
        <w:tc>
          <w:tcPr>
            <w:tcW w:w="6377" w:type="dxa"/>
            <w:noWrap w:val="0"/>
            <w:vAlign w:val="center"/>
          </w:tcPr>
          <w:p w14:paraId="40DFE975">
            <w:pPr>
              <w:spacing w:line="240" w:lineRule="auto"/>
              <w:ind w:firstLine="420"/>
              <w:jc w:val="left"/>
              <w:rPr>
                <w:rFonts w:hint="eastAsia" w:ascii="宋体" w:hAnsi="宋体" w:cs="宋体"/>
                <w:color w:val="auto"/>
                <w:szCs w:val="24"/>
                <w:lang w:eastAsia="zh-CN" w:bidi="ar"/>
              </w:rPr>
            </w:pPr>
            <w:r>
              <w:rPr>
                <w:rFonts w:hint="eastAsia" w:ascii="宋体" w:hAnsi="宋体" w:eastAsia="宋体" w:cs="宋体"/>
                <w:color w:val="auto"/>
                <w:szCs w:val="24"/>
                <w:lang w:bidi="ar"/>
              </w:rPr>
              <w:t>投标人需提供针对本项目制定的维保管理制度与操作规范方案，方案符合医院特点和要求，内容包含日常维保、定期维保管理制度和操作规范</w:t>
            </w:r>
            <w:r>
              <w:rPr>
                <w:rFonts w:hint="eastAsia" w:ascii="宋体" w:hAnsi="宋体" w:cs="宋体"/>
                <w:color w:val="auto"/>
                <w:szCs w:val="24"/>
                <w:lang w:eastAsia="zh-CN" w:bidi="ar"/>
              </w:rPr>
              <w:t>。</w:t>
            </w:r>
          </w:p>
          <w:p w14:paraId="1A8F737E">
            <w:pPr>
              <w:spacing w:line="240" w:lineRule="auto"/>
              <w:ind w:firstLine="420"/>
              <w:jc w:val="left"/>
              <w:rPr>
                <w:rFonts w:hint="eastAsia" w:ascii="宋体" w:hAnsi="宋体" w:cs="宋体"/>
                <w:color w:val="auto"/>
                <w:szCs w:val="24"/>
                <w:lang w:eastAsia="zh-CN" w:bidi="ar"/>
              </w:rPr>
            </w:pPr>
            <w:r>
              <w:rPr>
                <w:rFonts w:hint="eastAsia" w:ascii="宋体" w:hAnsi="宋体" w:cs="宋体"/>
                <w:kern w:val="0"/>
                <w:szCs w:val="21"/>
                <w:lang w:bidi="ar"/>
              </w:rPr>
              <w:t>方案合理完整完全满足采购人实际需求的得</w:t>
            </w:r>
            <w:r>
              <w:rPr>
                <w:rFonts w:hint="eastAsia" w:ascii="宋体" w:hAnsi="宋体" w:cs="宋体"/>
                <w:kern w:val="0"/>
                <w:szCs w:val="21"/>
                <w:lang w:val="en-US" w:eastAsia="zh-CN" w:bidi="ar"/>
              </w:rPr>
              <w:t>9</w:t>
            </w:r>
            <w:r>
              <w:rPr>
                <w:rFonts w:hint="eastAsia" w:ascii="宋体" w:hAnsi="宋体" w:cs="宋体"/>
                <w:kern w:val="0"/>
                <w:szCs w:val="21"/>
                <w:lang w:bidi="ar"/>
              </w:rPr>
              <w:t>分，每有一内容缺失的扣</w:t>
            </w:r>
            <w:r>
              <w:rPr>
                <w:rFonts w:hint="eastAsia" w:ascii="宋体" w:hAnsi="宋体" w:cs="宋体"/>
                <w:kern w:val="0"/>
                <w:szCs w:val="21"/>
                <w:lang w:val="en-US" w:eastAsia="zh-CN" w:bidi="ar"/>
              </w:rPr>
              <w:t>3</w:t>
            </w:r>
            <w:r>
              <w:rPr>
                <w:rFonts w:hint="eastAsia" w:ascii="宋体" w:hAnsi="宋体" w:cs="宋体"/>
                <w:kern w:val="0"/>
                <w:szCs w:val="21"/>
                <w:lang w:bidi="ar"/>
              </w:rPr>
              <w:t>分；每有一处存在缺陷（缺陷是指不适用于本项目，表述前后不一致或内容矛盾，语句有歧义，仅有框架或标题，涉及的规范及标准错误，套用其他项目内容等任意一种情形）的扣</w:t>
            </w:r>
            <w:r>
              <w:rPr>
                <w:rFonts w:hint="eastAsia" w:ascii="宋体" w:hAnsi="宋体" w:cs="宋体"/>
                <w:kern w:val="0"/>
                <w:szCs w:val="21"/>
                <w:lang w:val="en-US" w:eastAsia="zh-CN" w:bidi="ar"/>
              </w:rPr>
              <w:t>1</w:t>
            </w:r>
            <w:r>
              <w:rPr>
                <w:rFonts w:hint="eastAsia" w:ascii="宋体" w:hAnsi="宋体" w:cs="宋体"/>
                <w:kern w:val="0"/>
                <w:szCs w:val="21"/>
                <w:lang w:bidi="ar"/>
              </w:rPr>
              <w:t>分，直至该项分值</w:t>
            </w:r>
            <w:r>
              <w:rPr>
                <w:rFonts w:hint="eastAsia" w:ascii="宋体" w:hAnsi="宋体" w:cs="宋体"/>
                <w:kern w:val="0"/>
                <w:szCs w:val="21"/>
                <w:lang w:val="en-US" w:eastAsia="zh-CN" w:bidi="ar"/>
              </w:rPr>
              <w:t>9</w:t>
            </w:r>
            <w:r>
              <w:rPr>
                <w:rFonts w:hint="eastAsia" w:ascii="宋体" w:hAnsi="宋体" w:cs="宋体"/>
                <w:kern w:val="0"/>
                <w:szCs w:val="21"/>
                <w:lang w:bidi="ar"/>
              </w:rPr>
              <w:t>分扣完为止，不提供不得分。</w:t>
            </w:r>
          </w:p>
        </w:tc>
      </w:tr>
      <w:tr w14:paraId="325A3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4" w:type="dxa"/>
            <w:vMerge w:val="continue"/>
            <w:noWrap w:val="0"/>
            <w:vAlign w:val="center"/>
          </w:tcPr>
          <w:p w14:paraId="004CCB19">
            <w:pPr>
              <w:jc w:val="center"/>
              <w:rPr>
                <w:rFonts w:hint="eastAsia" w:ascii="宋体" w:hAnsi="宋体" w:eastAsia="宋体" w:cs="Times New Roman"/>
                <w:b w:val="0"/>
                <w:bCs w:val="0"/>
                <w:color w:val="auto"/>
                <w:sz w:val="22"/>
                <w:szCs w:val="22"/>
                <w:lang w:val="en-US" w:eastAsia="zh-CN"/>
              </w:rPr>
            </w:pPr>
          </w:p>
        </w:tc>
        <w:tc>
          <w:tcPr>
            <w:tcW w:w="1069" w:type="dxa"/>
            <w:vMerge w:val="continue"/>
            <w:noWrap w:val="0"/>
            <w:vAlign w:val="center"/>
          </w:tcPr>
          <w:p w14:paraId="6DC19C2E">
            <w:pPr>
              <w:jc w:val="center"/>
              <w:rPr>
                <w:rFonts w:hint="eastAsia" w:ascii="宋体" w:hAnsi="宋体" w:eastAsia="宋体" w:cs="Times New Roman"/>
                <w:b w:val="0"/>
                <w:bCs w:val="0"/>
                <w:color w:val="auto"/>
                <w:sz w:val="22"/>
                <w:szCs w:val="22"/>
                <w:highlight w:val="none"/>
                <w:lang w:val="en-US" w:eastAsia="zh-CN"/>
              </w:rPr>
            </w:pPr>
          </w:p>
        </w:tc>
        <w:tc>
          <w:tcPr>
            <w:tcW w:w="1492" w:type="dxa"/>
            <w:noWrap w:val="0"/>
            <w:vAlign w:val="center"/>
          </w:tcPr>
          <w:p w14:paraId="11BC5A1E">
            <w:pPr>
              <w:jc w:val="center"/>
              <w:rPr>
                <w:rFonts w:hint="eastAsia"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维修保养工作流程和维护保养计划方案</w:t>
            </w:r>
            <w:r>
              <w:rPr>
                <w:rFonts w:hint="eastAsia" w:ascii="宋体" w:hAnsi="宋体" w:cs="Times New Roman"/>
                <w:b w:val="0"/>
                <w:bCs w:val="0"/>
                <w:sz w:val="22"/>
                <w:szCs w:val="22"/>
                <w:lang w:val="en-US" w:eastAsia="zh-CN"/>
              </w:rPr>
              <w:t>（</w:t>
            </w:r>
            <w:r>
              <w:rPr>
                <w:rFonts w:hint="eastAsia" w:ascii="宋体" w:hAnsi="宋体" w:cs="宋体"/>
                <w:color w:val="auto"/>
                <w:szCs w:val="24"/>
                <w:lang w:val="en-US" w:eastAsia="zh-CN" w:bidi="ar"/>
              </w:rPr>
              <w:t>10</w:t>
            </w:r>
            <w:r>
              <w:rPr>
                <w:rFonts w:hint="eastAsia" w:ascii="宋体" w:hAnsi="宋体" w:eastAsia="宋体" w:cs="宋体"/>
                <w:color w:val="auto"/>
                <w:szCs w:val="24"/>
                <w:lang w:bidi="ar"/>
              </w:rPr>
              <w:t>分</w:t>
            </w:r>
            <w:r>
              <w:rPr>
                <w:rFonts w:hint="eastAsia" w:ascii="宋体" w:hAnsi="宋体" w:cs="Times New Roman"/>
                <w:b w:val="0"/>
                <w:bCs w:val="0"/>
                <w:sz w:val="22"/>
                <w:szCs w:val="22"/>
                <w:lang w:val="en-US" w:eastAsia="zh-CN"/>
              </w:rPr>
              <w:t>）</w:t>
            </w:r>
          </w:p>
        </w:tc>
        <w:tc>
          <w:tcPr>
            <w:tcW w:w="6377" w:type="dxa"/>
            <w:noWrap w:val="0"/>
            <w:vAlign w:val="center"/>
          </w:tcPr>
          <w:p w14:paraId="2C64587B">
            <w:pPr>
              <w:spacing w:line="240" w:lineRule="auto"/>
              <w:ind w:firstLine="420"/>
              <w:jc w:val="left"/>
              <w:rPr>
                <w:rFonts w:hint="eastAsia" w:ascii="宋体" w:hAnsi="宋体" w:eastAsia="宋体" w:cs="宋体"/>
                <w:color w:val="auto"/>
                <w:szCs w:val="24"/>
                <w:lang w:bidi="ar"/>
              </w:rPr>
            </w:pPr>
            <w:r>
              <w:rPr>
                <w:rFonts w:hint="eastAsia" w:ascii="宋体" w:hAnsi="宋体" w:eastAsia="宋体" w:cs="宋体"/>
                <w:color w:val="auto"/>
                <w:szCs w:val="24"/>
                <w:lang w:bidi="ar"/>
              </w:rPr>
              <w:t>投标人需提供针对本项目制定的维修保养工作流程和维护保养计划方案，方案内容包含但不仅限于维护保养程序、故障报告</w:t>
            </w:r>
            <w:r>
              <w:rPr>
                <w:rFonts w:hint="eastAsia" w:ascii="宋体" w:hAnsi="宋体" w:cs="宋体"/>
                <w:color w:val="auto"/>
                <w:szCs w:val="24"/>
                <w:lang w:eastAsia="zh-CN" w:bidi="ar"/>
              </w:rPr>
              <w:t>、</w:t>
            </w:r>
            <w:r>
              <w:rPr>
                <w:rFonts w:hint="eastAsia" w:ascii="宋体" w:hAnsi="宋体" w:eastAsia="宋体" w:cs="宋体"/>
                <w:color w:val="auto"/>
                <w:szCs w:val="24"/>
                <w:lang w:bidi="ar"/>
              </w:rPr>
              <w:t>故障预防措施、资料档案管理、维护保养服务监督管理机制等方面</w:t>
            </w:r>
            <w:r>
              <w:rPr>
                <w:rFonts w:hint="eastAsia" w:ascii="宋体" w:hAnsi="宋体" w:cs="宋体"/>
                <w:color w:val="auto"/>
                <w:szCs w:val="24"/>
                <w:lang w:val="en-US" w:eastAsia="zh-CN" w:bidi="ar"/>
              </w:rPr>
              <w:t>。</w:t>
            </w:r>
            <w:r>
              <w:rPr>
                <w:rFonts w:hint="eastAsia" w:ascii="宋体" w:hAnsi="宋体" w:cs="宋体"/>
                <w:kern w:val="0"/>
                <w:szCs w:val="21"/>
                <w:lang w:bidi="ar"/>
              </w:rPr>
              <w:t>方案合理完整完全满足采购人实际需求的得</w:t>
            </w:r>
            <w:r>
              <w:rPr>
                <w:rFonts w:hint="eastAsia" w:ascii="宋体" w:hAnsi="宋体" w:cs="宋体"/>
                <w:kern w:val="0"/>
                <w:szCs w:val="21"/>
                <w:lang w:val="en-US" w:eastAsia="zh-CN" w:bidi="ar"/>
              </w:rPr>
              <w:t>10</w:t>
            </w:r>
            <w:r>
              <w:rPr>
                <w:rFonts w:hint="eastAsia" w:ascii="宋体" w:hAnsi="宋体" w:cs="宋体"/>
                <w:kern w:val="0"/>
                <w:szCs w:val="21"/>
                <w:lang w:bidi="ar"/>
              </w:rPr>
              <w:t>分，每有一内容缺失的扣</w:t>
            </w:r>
            <w:r>
              <w:rPr>
                <w:rFonts w:hint="eastAsia" w:ascii="宋体" w:hAnsi="宋体" w:cs="宋体"/>
                <w:kern w:val="0"/>
                <w:szCs w:val="21"/>
                <w:lang w:val="en-US" w:eastAsia="zh-CN" w:bidi="ar"/>
              </w:rPr>
              <w:t>2</w:t>
            </w:r>
            <w:r>
              <w:rPr>
                <w:rFonts w:hint="eastAsia" w:ascii="宋体" w:hAnsi="宋体" w:cs="宋体"/>
                <w:kern w:val="0"/>
                <w:szCs w:val="21"/>
                <w:lang w:bidi="ar"/>
              </w:rPr>
              <w:t>分；每有一处存在缺陷（缺陷是指不适用于本项目，表述前后不一致或内容矛盾，语句有歧义，仅有框架或标题，涉及的规范及标准错误，套用其他项目内容等任意一种情形）的扣</w:t>
            </w:r>
            <w:r>
              <w:rPr>
                <w:rFonts w:hint="eastAsia" w:ascii="宋体" w:hAnsi="宋体" w:cs="宋体"/>
                <w:kern w:val="0"/>
                <w:szCs w:val="21"/>
                <w:lang w:val="en-US" w:eastAsia="zh-CN" w:bidi="ar"/>
              </w:rPr>
              <w:t>1</w:t>
            </w:r>
            <w:r>
              <w:rPr>
                <w:rFonts w:hint="eastAsia" w:ascii="宋体" w:hAnsi="宋体" w:cs="宋体"/>
                <w:kern w:val="0"/>
                <w:szCs w:val="21"/>
                <w:lang w:bidi="ar"/>
              </w:rPr>
              <w:t>分，直至该项分值</w:t>
            </w:r>
            <w:r>
              <w:rPr>
                <w:rFonts w:hint="eastAsia" w:ascii="宋体" w:hAnsi="宋体" w:cs="宋体"/>
                <w:kern w:val="0"/>
                <w:szCs w:val="21"/>
                <w:lang w:val="en-US" w:eastAsia="zh-CN" w:bidi="ar"/>
              </w:rPr>
              <w:t>10</w:t>
            </w:r>
            <w:r>
              <w:rPr>
                <w:rFonts w:hint="eastAsia" w:ascii="宋体" w:hAnsi="宋体" w:cs="宋体"/>
                <w:kern w:val="0"/>
                <w:szCs w:val="21"/>
                <w:lang w:bidi="ar"/>
              </w:rPr>
              <w:t>分扣完为止，不提供不得分。</w:t>
            </w:r>
          </w:p>
        </w:tc>
      </w:tr>
      <w:tr w14:paraId="6F861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 w:hRule="atLeast"/>
        </w:trPr>
        <w:tc>
          <w:tcPr>
            <w:tcW w:w="694" w:type="dxa"/>
            <w:vMerge w:val="continue"/>
            <w:noWrap w:val="0"/>
            <w:vAlign w:val="center"/>
          </w:tcPr>
          <w:p w14:paraId="4BF04E6C">
            <w:pPr>
              <w:jc w:val="center"/>
              <w:rPr>
                <w:rFonts w:hint="eastAsia" w:ascii="宋体" w:hAnsi="宋体" w:eastAsia="宋体" w:cs="Times New Roman"/>
                <w:b w:val="0"/>
                <w:bCs w:val="0"/>
                <w:color w:val="auto"/>
                <w:sz w:val="22"/>
                <w:szCs w:val="22"/>
                <w:lang w:val="en-US" w:eastAsia="zh-CN"/>
              </w:rPr>
            </w:pPr>
          </w:p>
        </w:tc>
        <w:tc>
          <w:tcPr>
            <w:tcW w:w="1069" w:type="dxa"/>
            <w:vMerge w:val="continue"/>
            <w:noWrap w:val="0"/>
            <w:vAlign w:val="center"/>
          </w:tcPr>
          <w:p w14:paraId="1F5CD22D">
            <w:pPr>
              <w:jc w:val="center"/>
              <w:rPr>
                <w:rFonts w:hint="eastAsia" w:ascii="宋体" w:hAnsi="宋体" w:eastAsia="宋体" w:cs="Times New Roman"/>
                <w:b w:val="0"/>
                <w:bCs w:val="0"/>
                <w:color w:val="auto"/>
                <w:sz w:val="22"/>
                <w:szCs w:val="22"/>
                <w:highlight w:val="none"/>
                <w:lang w:val="en-US" w:eastAsia="zh-CN"/>
              </w:rPr>
            </w:pPr>
          </w:p>
        </w:tc>
        <w:tc>
          <w:tcPr>
            <w:tcW w:w="1492" w:type="dxa"/>
            <w:noWrap w:val="0"/>
            <w:vAlign w:val="center"/>
          </w:tcPr>
          <w:p w14:paraId="29610199">
            <w:pPr>
              <w:jc w:val="center"/>
              <w:rPr>
                <w:rFonts w:hint="eastAsia"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应急响应方案</w:t>
            </w:r>
            <w:r>
              <w:rPr>
                <w:rFonts w:hint="eastAsia" w:ascii="宋体" w:hAnsi="宋体" w:cs="Times New Roman"/>
                <w:b w:val="0"/>
                <w:bCs w:val="0"/>
                <w:sz w:val="22"/>
                <w:szCs w:val="22"/>
                <w:lang w:val="en-US" w:eastAsia="zh-CN"/>
              </w:rPr>
              <w:t>（</w:t>
            </w:r>
            <w:r>
              <w:rPr>
                <w:rFonts w:hint="eastAsia" w:ascii="宋体" w:hAnsi="宋体" w:cs="宋体"/>
                <w:color w:val="auto"/>
                <w:szCs w:val="24"/>
                <w:lang w:val="en-US" w:eastAsia="zh-CN" w:bidi="ar"/>
              </w:rPr>
              <w:t>6</w:t>
            </w:r>
            <w:r>
              <w:rPr>
                <w:rFonts w:hint="eastAsia" w:ascii="宋体" w:hAnsi="宋体" w:eastAsia="宋体" w:cs="宋体"/>
                <w:color w:val="auto"/>
                <w:szCs w:val="24"/>
                <w:lang w:bidi="ar"/>
              </w:rPr>
              <w:t>分</w:t>
            </w:r>
            <w:r>
              <w:rPr>
                <w:rFonts w:hint="eastAsia" w:ascii="宋体" w:hAnsi="宋体" w:cs="Times New Roman"/>
                <w:b w:val="0"/>
                <w:bCs w:val="0"/>
                <w:sz w:val="22"/>
                <w:szCs w:val="22"/>
                <w:lang w:val="en-US" w:eastAsia="zh-CN"/>
              </w:rPr>
              <w:t>）</w:t>
            </w:r>
          </w:p>
        </w:tc>
        <w:tc>
          <w:tcPr>
            <w:tcW w:w="6377" w:type="dxa"/>
            <w:noWrap w:val="0"/>
            <w:vAlign w:val="center"/>
          </w:tcPr>
          <w:p w14:paraId="522B3797">
            <w:pPr>
              <w:spacing w:line="240" w:lineRule="auto"/>
              <w:ind w:firstLine="420"/>
              <w:jc w:val="left"/>
              <w:rPr>
                <w:rFonts w:hint="eastAsia" w:ascii="宋体" w:hAnsi="宋体" w:cs="宋体"/>
                <w:color w:val="auto"/>
                <w:szCs w:val="24"/>
                <w:lang w:eastAsia="zh-CN" w:bidi="ar"/>
              </w:rPr>
            </w:pPr>
            <w:r>
              <w:rPr>
                <w:rFonts w:hint="eastAsia" w:ascii="宋体" w:hAnsi="宋体" w:eastAsia="宋体" w:cs="宋体"/>
                <w:color w:val="auto"/>
                <w:szCs w:val="24"/>
                <w:lang w:bidi="ar"/>
              </w:rPr>
              <w:t>投标人需提供针对本项目制定应急响应方案，应急预案应包括应急程序、应急处理方案（应第一时间达到地点进行维修处理，维修人员应当及时向设备科报告情况）等</w:t>
            </w:r>
            <w:r>
              <w:rPr>
                <w:rFonts w:hint="eastAsia" w:ascii="宋体" w:hAnsi="宋体" w:cs="宋体"/>
                <w:color w:val="auto"/>
                <w:szCs w:val="24"/>
                <w:lang w:eastAsia="zh-CN" w:bidi="ar"/>
              </w:rPr>
              <w:t>，</w:t>
            </w:r>
            <w:r>
              <w:rPr>
                <w:rFonts w:hint="eastAsia" w:ascii="宋体" w:hAnsi="宋体" w:eastAsia="宋体" w:cs="宋体"/>
                <w:color w:val="auto"/>
                <w:szCs w:val="24"/>
                <w:lang w:bidi="ar"/>
              </w:rPr>
              <w:t>能充分考虑到现有设备可能出现的重大故障，规划出合理的应对措施</w:t>
            </w:r>
            <w:r>
              <w:rPr>
                <w:rFonts w:hint="eastAsia" w:ascii="宋体" w:hAnsi="宋体" w:cs="宋体"/>
                <w:color w:val="auto"/>
                <w:szCs w:val="24"/>
                <w:lang w:eastAsia="zh-CN" w:bidi="ar"/>
              </w:rPr>
              <w:t>。</w:t>
            </w:r>
          </w:p>
          <w:p w14:paraId="5661F3C6">
            <w:pPr>
              <w:spacing w:line="240" w:lineRule="auto"/>
              <w:ind w:firstLine="420"/>
              <w:jc w:val="left"/>
              <w:rPr>
                <w:rFonts w:hint="eastAsia" w:ascii="宋体" w:hAnsi="宋体" w:cs="宋体"/>
                <w:color w:val="auto"/>
                <w:szCs w:val="24"/>
                <w:lang w:eastAsia="zh-CN" w:bidi="ar"/>
              </w:rPr>
            </w:pPr>
            <w:r>
              <w:rPr>
                <w:rFonts w:hint="eastAsia" w:ascii="宋体" w:hAnsi="宋体" w:cs="宋体"/>
                <w:kern w:val="0"/>
                <w:szCs w:val="21"/>
                <w:lang w:bidi="ar"/>
              </w:rPr>
              <w:t>方案合理完整完全满足采购人实际需求的得</w:t>
            </w:r>
            <w:r>
              <w:rPr>
                <w:rFonts w:hint="eastAsia" w:ascii="宋体" w:hAnsi="宋体" w:cs="宋体"/>
                <w:kern w:val="0"/>
                <w:szCs w:val="21"/>
                <w:lang w:val="en-US" w:eastAsia="zh-CN" w:bidi="ar"/>
              </w:rPr>
              <w:t>6</w:t>
            </w:r>
            <w:r>
              <w:rPr>
                <w:rFonts w:hint="eastAsia" w:ascii="宋体" w:hAnsi="宋体" w:cs="宋体"/>
                <w:kern w:val="0"/>
                <w:szCs w:val="21"/>
                <w:lang w:bidi="ar"/>
              </w:rPr>
              <w:t>分，每有一内容缺失的扣</w:t>
            </w:r>
            <w:r>
              <w:rPr>
                <w:rFonts w:hint="eastAsia" w:ascii="宋体" w:hAnsi="宋体" w:cs="宋体"/>
                <w:kern w:val="0"/>
                <w:szCs w:val="21"/>
                <w:lang w:val="en-US" w:eastAsia="zh-CN" w:bidi="ar"/>
              </w:rPr>
              <w:t>3</w:t>
            </w:r>
            <w:r>
              <w:rPr>
                <w:rFonts w:hint="eastAsia" w:ascii="宋体" w:hAnsi="宋体" w:cs="宋体"/>
                <w:kern w:val="0"/>
                <w:szCs w:val="21"/>
                <w:lang w:bidi="ar"/>
              </w:rPr>
              <w:t>分；每有一处存在缺陷（缺陷是指不适用于本项目，表述前后不一致或内容矛盾，语句有歧义，仅有框架或标题，涉及的规范及标准错误，套用其他项目内容等任意一种情形）的扣</w:t>
            </w:r>
            <w:r>
              <w:rPr>
                <w:rFonts w:hint="eastAsia" w:ascii="宋体" w:hAnsi="宋体" w:cs="宋体"/>
                <w:kern w:val="0"/>
                <w:szCs w:val="21"/>
                <w:lang w:val="en-US" w:eastAsia="zh-CN" w:bidi="ar"/>
              </w:rPr>
              <w:t>1</w:t>
            </w:r>
            <w:r>
              <w:rPr>
                <w:rFonts w:hint="eastAsia" w:ascii="宋体" w:hAnsi="宋体" w:cs="宋体"/>
                <w:kern w:val="0"/>
                <w:szCs w:val="21"/>
                <w:lang w:bidi="ar"/>
              </w:rPr>
              <w:t>分，直至该项分值</w:t>
            </w:r>
            <w:r>
              <w:rPr>
                <w:rFonts w:hint="eastAsia" w:ascii="宋体" w:hAnsi="宋体" w:cs="宋体"/>
                <w:kern w:val="0"/>
                <w:szCs w:val="21"/>
                <w:lang w:val="en-US" w:eastAsia="zh-CN" w:bidi="ar"/>
              </w:rPr>
              <w:t>6</w:t>
            </w:r>
            <w:r>
              <w:rPr>
                <w:rFonts w:hint="eastAsia" w:ascii="宋体" w:hAnsi="宋体" w:cs="宋体"/>
                <w:kern w:val="0"/>
                <w:szCs w:val="21"/>
                <w:lang w:bidi="ar"/>
              </w:rPr>
              <w:t>分扣完为止，不提供不得分。</w:t>
            </w:r>
          </w:p>
        </w:tc>
      </w:tr>
      <w:tr w14:paraId="6383A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4" w:type="dxa"/>
            <w:vMerge w:val="continue"/>
            <w:noWrap w:val="0"/>
            <w:vAlign w:val="center"/>
          </w:tcPr>
          <w:p w14:paraId="0847B582">
            <w:pPr>
              <w:jc w:val="center"/>
              <w:rPr>
                <w:rFonts w:hint="eastAsia" w:ascii="宋体" w:hAnsi="宋体" w:eastAsia="宋体" w:cs="Times New Roman"/>
                <w:b w:val="0"/>
                <w:bCs w:val="0"/>
                <w:color w:val="auto"/>
                <w:sz w:val="22"/>
                <w:szCs w:val="22"/>
                <w:lang w:val="en-US" w:eastAsia="zh-CN"/>
              </w:rPr>
            </w:pPr>
          </w:p>
        </w:tc>
        <w:tc>
          <w:tcPr>
            <w:tcW w:w="1069" w:type="dxa"/>
            <w:vMerge w:val="continue"/>
            <w:noWrap w:val="0"/>
            <w:vAlign w:val="center"/>
          </w:tcPr>
          <w:p w14:paraId="27A87B74">
            <w:pPr>
              <w:jc w:val="center"/>
              <w:rPr>
                <w:rFonts w:hint="eastAsia" w:ascii="宋体" w:hAnsi="宋体" w:eastAsia="宋体" w:cs="Times New Roman"/>
                <w:b w:val="0"/>
                <w:bCs w:val="0"/>
                <w:color w:val="auto"/>
                <w:sz w:val="22"/>
                <w:szCs w:val="22"/>
                <w:highlight w:val="none"/>
                <w:lang w:val="en-US" w:eastAsia="zh-CN"/>
              </w:rPr>
            </w:pPr>
          </w:p>
        </w:tc>
        <w:tc>
          <w:tcPr>
            <w:tcW w:w="1492" w:type="dxa"/>
            <w:noWrap w:val="0"/>
            <w:vAlign w:val="center"/>
          </w:tcPr>
          <w:p w14:paraId="2E1AC601">
            <w:pPr>
              <w:jc w:val="center"/>
              <w:rPr>
                <w:rFonts w:hint="eastAsia"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备件保障及运输方案</w:t>
            </w:r>
            <w:r>
              <w:rPr>
                <w:rFonts w:hint="eastAsia" w:ascii="宋体" w:hAnsi="宋体" w:cs="Times New Roman"/>
                <w:b w:val="0"/>
                <w:bCs w:val="0"/>
                <w:sz w:val="22"/>
                <w:szCs w:val="22"/>
                <w:lang w:val="en-US" w:eastAsia="zh-CN"/>
              </w:rPr>
              <w:t>（</w:t>
            </w:r>
            <w:r>
              <w:rPr>
                <w:rFonts w:hint="eastAsia" w:ascii="宋体" w:hAnsi="宋体" w:cs="宋体"/>
                <w:color w:val="auto"/>
                <w:szCs w:val="24"/>
                <w:lang w:val="en-US" w:eastAsia="zh-CN" w:bidi="ar"/>
              </w:rPr>
              <w:t>6</w:t>
            </w:r>
            <w:r>
              <w:rPr>
                <w:rFonts w:hint="eastAsia" w:ascii="宋体" w:hAnsi="宋体" w:eastAsia="宋体" w:cs="宋体"/>
                <w:color w:val="auto"/>
                <w:szCs w:val="24"/>
                <w:lang w:bidi="ar"/>
              </w:rPr>
              <w:t>分</w:t>
            </w:r>
            <w:r>
              <w:rPr>
                <w:rFonts w:hint="eastAsia" w:ascii="宋体" w:hAnsi="宋体" w:cs="Times New Roman"/>
                <w:b w:val="0"/>
                <w:bCs w:val="0"/>
                <w:sz w:val="22"/>
                <w:szCs w:val="22"/>
                <w:lang w:val="en-US" w:eastAsia="zh-CN"/>
              </w:rPr>
              <w:t>）</w:t>
            </w:r>
          </w:p>
        </w:tc>
        <w:tc>
          <w:tcPr>
            <w:tcW w:w="6377" w:type="dxa"/>
            <w:noWrap w:val="0"/>
            <w:vAlign w:val="center"/>
          </w:tcPr>
          <w:p w14:paraId="5A19EC2F">
            <w:pPr>
              <w:spacing w:line="240" w:lineRule="auto"/>
              <w:ind w:firstLine="420"/>
              <w:jc w:val="left"/>
              <w:rPr>
                <w:rFonts w:hint="eastAsia" w:ascii="宋体" w:hAnsi="宋体" w:eastAsia="宋体" w:cs="宋体"/>
                <w:color w:val="auto"/>
                <w:szCs w:val="24"/>
                <w:lang w:bidi="ar"/>
              </w:rPr>
            </w:pPr>
            <w:r>
              <w:rPr>
                <w:rFonts w:hint="eastAsia" w:ascii="宋体" w:hAnsi="宋体" w:eastAsia="宋体" w:cs="宋体"/>
                <w:color w:val="auto"/>
                <w:szCs w:val="24"/>
                <w:lang w:bidi="ar"/>
              </w:rPr>
              <w:t>投标人需针对本项目制定备件保障及运输方案，方案内容需对备件库</w:t>
            </w:r>
            <w:r>
              <w:rPr>
                <w:rFonts w:hint="eastAsia" w:ascii="宋体" w:hAnsi="宋体" w:cs="宋体"/>
                <w:color w:val="auto"/>
                <w:szCs w:val="24"/>
                <w:lang w:eastAsia="zh-CN" w:bidi="ar"/>
              </w:rPr>
              <w:t>、</w:t>
            </w:r>
            <w:r>
              <w:rPr>
                <w:rFonts w:hint="eastAsia" w:ascii="宋体" w:hAnsi="宋体" w:eastAsia="宋体" w:cs="宋体"/>
                <w:color w:val="auto"/>
                <w:szCs w:val="24"/>
                <w:lang w:bidi="ar"/>
              </w:rPr>
              <w:t>备品备件、备件数量、型号、配置情况、运输保障措施等进行阐述。</w:t>
            </w:r>
          </w:p>
          <w:p w14:paraId="3E26A46D">
            <w:pPr>
              <w:spacing w:line="240" w:lineRule="auto"/>
              <w:ind w:firstLine="420"/>
              <w:jc w:val="left"/>
              <w:rPr>
                <w:rFonts w:hint="eastAsia" w:ascii="宋体" w:hAnsi="宋体" w:eastAsia="宋体" w:cs="宋体"/>
                <w:color w:val="auto"/>
                <w:szCs w:val="24"/>
                <w:lang w:bidi="ar"/>
              </w:rPr>
            </w:pPr>
            <w:r>
              <w:rPr>
                <w:rFonts w:hint="eastAsia" w:ascii="宋体" w:hAnsi="宋体" w:cs="宋体"/>
                <w:kern w:val="0"/>
                <w:szCs w:val="21"/>
                <w:lang w:bidi="ar"/>
              </w:rPr>
              <w:t>方案合理完整完全满足采购人实际需求的得</w:t>
            </w:r>
            <w:r>
              <w:rPr>
                <w:rFonts w:hint="eastAsia" w:ascii="宋体" w:hAnsi="宋体" w:cs="宋体"/>
                <w:kern w:val="0"/>
                <w:szCs w:val="21"/>
                <w:lang w:val="en-US" w:eastAsia="zh-CN" w:bidi="ar"/>
              </w:rPr>
              <w:t>6</w:t>
            </w:r>
            <w:r>
              <w:rPr>
                <w:rFonts w:hint="eastAsia" w:ascii="宋体" w:hAnsi="宋体" w:cs="宋体"/>
                <w:kern w:val="0"/>
                <w:szCs w:val="21"/>
                <w:lang w:bidi="ar"/>
              </w:rPr>
              <w:t>分，每有一内容缺失的扣</w:t>
            </w:r>
            <w:r>
              <w:rPr>
                <w:rFonts w:hint="eastAsia" w:ascii="宋体" w:hAnsi="宋体" w:cs="宋体"/>
                <w:kern w:val="0"/>
                <w:szCs w:val="21"/>
                <w:lang w:val="en-US" w:eastAsia="zh-CN" w:bidi="ar"/>
              </w:rPr>
              <w:t>1</w:t>
            </w:r>
            <w:r>
              <w:rPr>
                <w:rFonts w:hint="eastAsia" w:ascii="宋体" w:hAnsi="宋体" w:cs="宋体"/>
                <w:kern w:val="0"/>
                <w:szCs w:val="21"/>
                <w:lang w:bidi="ar"/>
              </w:rPr>
              <w:t>分；每有一处存在缺陷（缺陷是指不适用于本项目，表述前后不一致或内容矛盾，语句有歧义，仅有框架或标题，涉及的规范及标准错误，套用其他项目内容等任意一种情形）的扣</w:t>
            </w:r>
            <w:r>
              <w:rPr>
                <w:rFonts w:hint="eastAsia" w:ascii="宋体" w:hAnsi="宋体" w:cs="宋体"/>
                <w:kern w:val="0"/>
                <w:szCs w:val="21"/>
                <w:lang w:val="en-US" w:eastAsia="zh-CN" w:bidi="ar"/>
              </w:rPr>
              <w:t>0.5</w:t>
            </w:r>
            <w:r>
              <w:rPr>
                <w:rFonts w:hint="eastAsia" w:ascii="宋体" w:hAnsi="宋体" w:cs="宋体"/>
                <w:kern w:val="0"/>
                <w:szCs w:val="21"/>
                <w:lang w:bidi="ar"/>
              </w:rPr>
              <w:t>分，直至该项分值</w:t>
            </w:r>
            <w:r>
              <w:rPr>
                <w:rFonts w:hint="eastAsia" w:ascii="宋体" w:hAnsi="宋体" w:cs="宋体"/>
                <w:kern w:val="0"/>
                <w:szCs w:val="21"/>
                <w:lang w:val="en-US" w:eastAsia="zh-CN" w:bidi="ar"/>
              </w:rPr>
              <w:t>6</w:t>
            </w:r>
            <w:r>
              <w:rPr>
                <w:rFonts w:hint="eastAsia" w:ascii="宋体" w:hAnsi="宋体" w:cs="宋体"/>
                <w:kern w:val="0"/>
                <w:szCs w:val="21"/>
                <w:lang w:bidi="ar"/>
              </w:rPr>
              <w:t>分扣完为止，不提供不得分。</w:t>
            </w:r>
          </w:p>
        </w:tc>
      </w:tr>
      <w:tr w14:paraId="6B15F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694" w:type="dxa"/>
            <w:vMerge w:val="continue"/>
            <w:noWrap w:val="0"/>
            <w:vAlign w:val="center"/>
          </w:tcPr>
          <w:p w14:paraId="2B34AD50">
            <w:pPr>
              <w:jc w:val="center"/>
              <w:rPr>
                <w:rFonts w:hint="eastAsia" w:ascii="宋体" w:hAnsi="宋体" w:eastAsia="宋体" w:cs="Times New Roman"/>
                <w:b w:val="0"/>
                <w:bCs w:val="0"/>
                <w:color w:val="auto"/>
                <w:sz w:val="22"/>
                <w:szCs w:val="22"/>
                <w:lang w:val="en-US" w:eastAsia="zh-CN"/>
              </w:rPr>
            </w:pPr>
          </w:p>
        </w:tc>
        <w:tc>
          <w:tcPr>
            <w:tcW w:w="1069" w:type="dxa"/>
            <w:vMerge w:val="continue"/>
            <w:noWrap w:val="0"/>
            <w:vAlign w:val="center"/>
          </w:tcPr>
          <w:p w14:paraId="783F1AD9">
            <w:pPr>
              <w:jc w:val="center"/>
              <w:rPr>
                <w:rFonts w:hint="eastAsia" w:ascii="宋体" w:hAnsi="宋体" w:eastAsia="宋体" w:cs="Times New Roman"/>
                <w:b w:val="0"/>
                <w:bCs w:val="0"/>
                <w:color w:val="auto"/>
                <w:sz w:val="22"/>
                <w:szCs w:val="22"/>
                <w:lang w:val="en-US" w:eastAsia="zh-CN"/>
              </w:rPr>
            </w:pPr>
          </w:p>
        </w:tc>
        <w:tc>
          <w:tcPr>
            <w:tcW w:w="1492" w:type="dxa"/>
            <w:noWrap w:val="0"/>
            <w:vAlign w:val="center"/>
          </w:tcPr>
          <w:p w14:paraId="3811A46C">
            <w:pPr>
              <w:jc w:val="center"/>
              <w:rPr>
                <w:rFonts w:hint="default" w:ascii="宋体" w:hAnsi="宋体" w:eastAsia="宋体" w:cs="Times New Roman"/>
                <w:b w:val="0"/>
                <w:bCs w:val="0"/>
                <w:sz w:val="22"/>
                <w:szCs w:val="22"/>
                <w:highlight w:val="none"/>
                <w:lang w:val="en-US" w:eastAsia="zh-CN"/>
              </w:rPr>
            </w:pPr>
            <w:r>
              <w:rPr>
                <w:rFonts w:hint="eastAsia" w:ascii="宋体" w:hAnsi="宋体" w:eastAsia="宋体" w:cs="Times New Roman"/>
                <w:b w:val="0"/>
                <w:bCs w:val="0"/>
                <w:sz w:val="22"/>
                <w:szCs w:val="22"/>
                <w:highlight w:val="none"/>
                <w:lang w:val="en-US" w:eastAsia="zh-CN"/>
              </w:rPr>
              <w:t>培训方案</w:t>
            </w:r>
            <w:r>
              <w:rPr>
                <w:rFonts w:hint="eastAsia" w:ascii="宋体" w:hAnsi="宋体" w:cs="Times New Roman"/>
                <w:b w:val="0"/>
                <w:bCs w:val="0"/>
                <w:sz w:val="22"/>
                <w:szCs w:val="22"/>
                <w:highlight w:val="none"/>
                <w:lang w:val="en-US" w:eastAsia="zh-CN"/>
              </w:rPr>
              <w:t>（</w:t>
            </w:r>
            <w:r>
              <w:rPr>
                <w:rFonts w:hint="eastAsia" w:ascii="宋体" w:hAnsi="宋体" w:cs="宋体"/>
                <w:color w:val="auto"/>
                <w:szCs w:val="24"/>
                <w:highlight w:val="none"/>
                <w:lang w:val="en-US" w:eastAsia="zh-CN" w:bidi="ar"/>
              </w:rPr>
              <w:t>4</w:t>
            </w:r>
            <w:r>
              <w:rPr>
                <w:rFonts w:hint="eastAsia" w:ascii="宋体" w:hAnsi="宋体" w:eastAsia="宋体" w:cs="宋体"/>
                <w:color w:val="auto"/>
                <w:szCs w:val="24"/>
                <w:highlight w:val="none"/>
                <w:lang w:bidi="ar"/>
              </w:rPr>
              <w:t>分</w:t>
            </w:r>
            <w:r>
              <w:rPr>
                <w:rFonts w:hint="eastAsia" w:ascii="宋体" w:hAnsi="宋体" w:cs="Times New Roman"/>
                <w:b w:val="0"/>
                <w:bCs w:val="0"/>
                <w:sz w:val="22"/>
                <w:szCs w:val="22"/>
                <w:highlight w:val="none"/>
                <w:lang w:val="en-US" w:eastAsia="zh-CN"/>
              </w:rPr>
              <w:t>）</w:t>
            </w:r>
          </w:p>
        </w:tc>
        <w:tc>
          <w:tcPr>
            <w:tcW w:w="6377" w:type="dxa"/>
            <w:noWrap w:val="0"/>
            <w:vAlign w:val="center"/>
          </w:tcPr>
          <w:p w14:paraId="0A06D7C7">
            <w:pPr>
              <w:spacing w:line="240" w:lineRule="auto"/>
              <w:ind w:firstLine="420"/>
              <w:jc w:val="left"/>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投标人需针对本项目制定培训方案，投标人在</w:t>
            </w:r>
            <w:r>
              <w:rPr>
                <w:rFonts w:hint="eastAsia" w:ascii="宋体" w:hAnsi="宋体" w:cs="宋体"/>
                <w:color w:val="auto"/>
                <w:szCs w:val="24"/>
                <w:highlight w:val="none"/>
                <w:lang w:val="en-US" w:eastAsia="zh-CN" w:bidi="ar"/>
              </w:rPr>
              <w:t>本项目</w:t>
            </w:r>
            <w:r>
              <w:rPr>
                <w:rFonts w:hint="eastAsia" w:ascii="宋体" w:hAnsi="宋体" w:eastAsia="宋体" w:cs="宋体"/>
                <w:color w:val="auto"/>
                <w:szCs w:val="24"/>
                <w:highlight w:val="none"/>
                <w:lang w:bidi="ar"/>
              </w:rPr>
              <w:t>机器的维保过程中实施新的解决方案，应及时向采购人的相关技术人员做好指导或培训工作。</w:t>
            </w:r>
          </w:p>
          <w:p w14:paraId="359A0C4E">
            <w:pPr>
              <w:spacing w:line="240" w:lineRule="auto"/>
              <w:ind w:firstLine="420"/>
              <w:jc w:val="left"/>
              <w:rPr>
                <w:rFonts w:hint="eastAsia" w:ascii="宋体" w:hAnsi="宋体" w:eastAsia="宋体" w:cs="宋体"/>
                <w:color w:val="auto"/>
                <w:szCs w:val="24"/>
                <w:highlight w:val="none"/>
                <w:lang w:bidi="ar"/>
              </w:rPr>
            </w:pPr>
            <w:r>
              <w:rPr>
                <w:rFonts w:hint="eastAsia" w:ascii="宋体" w:hAnsi="宋体" w:cs="宋体"/>
                <w:kern w:val="0"/>
                <w:szCs w:val="21"/>
                <w:lang w:bidi="ar"/>
              </w:rPr>
              <w:t>方案合理完整完全满足采购人实际需求的得</w:t>
            </w:r>
            <w:r>
              <w:rPr>
                <w:rFonts w:hint="eastAsia" w:ascii="宋体" w:hAnsi="宋体" w:cs="宋体"/>
                <w:kern w:val="0"/>
                <w:szCs w:val="21"/>
                <w:lang w:val="en-US" w:eastAsia="zh-CN" w:bidi="ar"/>
              </w:rPr>
              <w:t>4</w:t>
            </w:r>
            <w:r>
              <w:rPr>
                <w:rFonts w:hint="eastAsia" w:ascii="宋体" w:hAnsi="宋体" w:cs="宋体"/>
                <w:kern w:val="0"/>
                <w:szCs w:val="21"/>
                <w:lang w:bidi="ar"/>
              </w:rPr>
              <w:t>分，每有一内容缺失的扣</w:t>
            </w:r>
            <w:r>
              <w:rPr>
                <w:rFonts w:hint="eastAsia" w:ascii="宋体" w:hAnsi="宋体" w:cs="宋体"/>
                <w:kern w:val="0"/>
                <w:szCs w:val="21"/>
                <w:lang w:val="en-US" w:eastAsia="zh-CN" w:bidi="ar"/>
              </w:rPr>
              <w:t>4</w:t>
            </w:r>
            <w:r>
              <w:rPr>
                <w:rFonts w:hint="eastAsia" w:ascii="宋体" w:hAnsi="宋体" w:cs="宋体"/>
                <w:kern w:val="0"/>
                <w:szCs w:val="21"/>
                <w:lang w:bidi="ar"/>
              </w:rPr>
              <w:t>分；每有一处存在缺陷（缺陷是指不适用于本项目，表述前后不一致或内容矛盾，语句有歧义，仅有框架或标题，涉及的规范及标准错误，套用其他项目内容等任意一种情形）的扣</w:t>
            </w:r>
            <w:r>
              <w:rPr>
                <w:rFonts w:hint="eastAsia" w:ascii="宋体" w:hAnsi="宋体" w:cs="宋体"/>
                <w:kern w:val="0"/>
                <w:szCs w:val="21"/>
                <w:lang w:val="en-US" w:eastAsia="zh-CN" w:bidi="ar"/>
              </w:rPr>
              <w:t>2</w:t>
            </w:r>
            <w:r>
              <w:rPr>
                <w:rFonts w:hint="eastAsia" w:ascii="宋体" w:hAnsi="宋体" w:cs="宋体"/>
                <w:kern w:val="0"/>
                <w:szCs w:val="21"/>
                <w:lang w:bidi="ar"/>
              </w:rPr>
              <w:t>分，直至该项分值</w:t>
            </w:r>
            <w:r>
              <w:rPr>
                <w:rFonts w:hint="eastAsia" w:ascii="宋体" w:hAnsi="宋体" w:cs="宋体"/>
                <w:kern w:val="0"/>
                <w:szCs w:val="21"/>
                <w:lang w:val="en-US" w:eastAsia="zh-CN" w:bidi="ar"/>
              </w:rPr>
              <w:t>4</w:t>
            </w:r>
            <w:r>
              <w:rPr>
                <w:rFonts w:hint="eastAsia" w:ascii="宋体" w:hAnsi="宋体" w:cs="宋体"/>
                <w:kern w:val="0"/>
                <w:szCs w:val="21"/>
                <w:lang w:bidi="ar"/>
              </w:rPr>
              <w:t>分扣完为止，不提供不得分。</w:t>
            </w:r>
          </w:p>
        </w:tc>
      </w:tr>
      <w:tr w14:paraId="139BA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694" w:type="dxa"/>
            <w:vMerge w:val="continue"/>
            <w:noWrap w:val="0"/>
            <w:vAlign w:val="center"/>
          </w:tcPr>
          <w:p w14:paraId="780B4483">
            <w:pPr>
              <w:widowControl/>
              <w:tabs>
                <w:tab w:val="left" w:pos="810"/>
                <w:tab w:val="left" w:pos="907"/>
                <w:tab w:val="left" w:pos="1265"/>
              </w:tabs>
              <w:ind w:left="0" w:firstLine="420"/>
              <w:jc w:val="left"/>
            </w:pPr>
          </w:p>
        </w:tc>
        <w:tc>
          <w:tcPr>
            <w:tcW w:w="1069" w:type="dxa"/>
            <w:vMerge w:val="continue"/>
            <w:noWrap w:val="0"/>
            <w:vAlign w:val="center"/>
          </w:tcPr>
          <w:p w14:paraId="2182F35F">
            <w:pPr>
              <w:widowControl/>
              <w:tabs>
                <w:tab w:val="left" w:pos="810"/>
                <w:tab w:val="left" w:pos="907"/>
                <w:tab w:val="left" w:pos="1265"/>
              </w:tabs>
              <w:ind w:left="0" w:firstLine="420"/>
              <w:jc w:val="left"/>
            </w:pPr>
          </w:p>
        </w:tc>
        <w:tc>
          <w:tcPr>
            <w:tcW w:w="1492" w:type="dxa"/>
            <w:noWrap w:val="0"/>
            <w:vAlign w:val="center"/>
          </w:tcPr>
          <w:p w14:paraId="7C163BD2">
            <w:pPr>
              <w:jc w:val="center"/>
              <w:rPr>
                <w:rFonts w:hint="default"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质量及安全管理方案</w:t>
            </w:r>
            <w:r>
              <w:rPr>
                <w:rFonts w:hint="eastAsia" w:ascii="宋体" w:hAnsi="宋体" w:cs="Times New Roman"/>
                <w:b w:val="0"/>
                <w:bCs w:val="0"/>
                <w:sz w:val="22"/>
                <w:szCs w:val="22"/>
                <w:lang w:val="en-US" w:eastAsia="zh-CN"/>
              </w:rPr>
              <w:t>（</w:t>
            </w:r>
            <w:r>
              <w:rPr>
                <w:rFonts w:hint="eastAsia" w:ascii="宋体" w:hAnsi="宋体" w:cs="宋体"/>
                <w:color w:val="auto"/>
                <w:szCs w:val="24"/>
                <w:lang w:val="en-US" w:eastAsia="zh-CN" w:bidi="ar"/>
              </w:rPr>
              <w:t>6</w:t>
            </w:r>
            <w:r>
              <w:rPr>
                <w:rFonts w:hint="eastAsia" w:ascii="宋体" w:hAnsi="宋体" w:eastAsia="宋体" w:cs="宋体"/>
                <w:color w:val="auto"/>
                <w:szCs w:val="24"/>
                <w:lang w:bidi="ar"/>
              </w:rPr>
              <w:t>分</w:t>
            </w:r>
            <w:r>
              <w:rPr>
                <w:rFonts w:hint="eastAsia" w:ascii="宋体" w:hAnsi="宋体" w:cs="Times New Roman"/>
                <w:b w:val="0"/>
                <w:bCs w:val="0"/>
                <w:sz w:val="22"/>
                <w:szCs w:val="22"/>
                <w:lang w:val="en-US" w:eastAsia="zh-CN"/>
              </w:rPr>
              <w:t>）</w:t>
            </w:r>
          </w:p>
        </w:tc>
        <w:tc>
          <w:tcPr>
            <w:tcW w:w="6377" w:type="dxa"/>
            <w:noWrap w:val="0"/>
            <w:vAlign w:val="center"/>
          </w:tcPr>
          <w:p w14:paraId="286BEE10">
            <w:pPr>
              <w:spacing w:line="240" w:lineRule="auto"/>
              <w:ind w:firstLine="420"/>
              <w:jc w:val="left"/>
              <w:rPr>
                <w:rFonts w:hint="eastAsia" w:ascii="宋体" w:hAnsi="宋体" w:eastAsia="宋体" w:cs="宋体"/>
                <w:color w:val="auto"/>
                <w:szCs w:val="24"/>
                <w:lang w:bidi="ar"/>
              </w:rPr>
            </w:pPr>
            <w:r>
              <w:rPr>
                <w:rFonts w:hint="eastAsia" w:ascii="宋体" w:hAnsi="宋体" w:eastAsia="宋体" w:cs="宋体"/>
                <w:color w:val="auto"/>
                <w:szCs w:val="24"/>
                <w:lang w:bidi="ar"/>
              </w:rPr>
              <w:t>投标人需针对维保实施过程中的质量及安全管理方案，方案内容包含但不仅限于维保实施过程中的质量自检措施、安全管理等方面。</w:t>
            </w:r>
          </w:p>
          <w:p w14:paraId="666E35AE">
            <w:pPr>
              <w:spacing w:line="240" w:lineRule="auto"/>
              <w:ind w:firstLine="420"/>
              <w:jc w:val="left"/>
              <w:rPr>
                <w:rFonts w:hint="default" w:ascii="宋体" w:hAnsi="宋体" w:eastAsia="宋体" w:cs="宋体"/>
                <w:color w:val="auto"/>
                <w:szCs w:val="24"/>
                <w:lang w:val="en-US" w:eastAsia="zh-CN" w:bidi="ar"/>
              </w:rPr>
            </w:pPr>
            <w:r>
              <w:rPr>
                <w:rFonts w:hint="eastAsia" w:ascii="宋体" w:hAnsi="宋体" w:cs="宋体"/>
                <w:kern w:val="0"/>
                <w:szCs w:val="21"/>
                <w:lang w:bidi="ar"/>
              </w:rPr>
              <w:t>方案合理完整完全满足采购人实际需求的得</w:t>
            </w:r>
            <w:r>
              <w:rPr>
                <w:rFonts w:hint="eastAsia" w:ascii="宋体" w:hAnsi="宋体" w:cs="宋体"/>
                <w:kern w:val="0"/>
                <w:szCs w:val="21"/>
                <w:lang w:val="en-US" w:eastAsia="zh-CN" w:bidi="ar"/>
              </w:rPr>
              <w:t>6</w:t>
            </w:r>
            <w:r>
              <w:rPr>
                <w:rFonts w:hint="eastAsia" w:ascii="宋体" w:hAnsi="宋体" w:cs="宋体"/>
                <w:kern w:val="0"/>
                <w:szCs w:val="21"/>
                <w:lang w:bidi="ar"/>
              </w:rPr>
              <w:t>分，每有一内容缺失的扣</w:t>
            </w:r>
            <w:r>
              <w:rPr>
                <w:rFonts w:hint="eastAsia" w:ascii="宋体" w:hAnsi="宋体" w:cs="宋体"/>
                <w:kern w:val="0"/>
                <w:szCs w:val="21"/>
                <w:lang w:val="en-US" w:eastAsia="zh-CN" w:bidi="ar"/>
              </w:rPr>
              <w:t>3</w:t>
            </w:r>
            <w:r>
              <w:rPr>
                <w:rFonts w:hint="eastAsia" w:ascii="宋体" w:hAnsi="宋体" w:cs="宋体"/>
                <w:kern w:val="0"/>
                <w:szCs w:val="21"/>
                <w:lang w:bidi="ar"/>
              </w:rPr>
              <w:t>分；每有一处存在缺陷（缺陷是指不适用于本项目，表述前后不一致或内容矛盾，语句有歧义，仅有框架或标题，涉及的规范及标准错误，套用其他项目内容等任意一种情形）的扣</w:t>
            </w:r>
            <w:r>
              <w:rPr>
                <w:rFonts w:hint="eastAsia" w:ascii="宋体" w:hAnsi="宋体" w:cs="宋体"/>
                <w:kern w:val="0"/>
                <w:szCs w:val="21"/>
                <w:lang w:val="en-US" w:eastAsia="zh-CN" w:bidi="ar"/>
              </w:rPr>
              <w:t>1</w:t>
            </w:r>
            <w:r>
              <w:rPr>
                <w:rFonts w:hint="eastAsia" w:ascii="宋体" w:hAnsi="宋体" w:cs="宋体"/>
                <w:kern w:val="0"/>
                <w:szCs w:val="21"/>
                <w:lang w:bidi="ar"/>
              </w:rPr>
              <w:t>分，直至该项分值</w:t>
            </w:r>
            <w:r>
              <w:rPr>
                <w:rFonts w:hint="eastAsia" w:ascii="宋体" w:hAnsi="宋体" w:cs="宋体"/>
                <w:kern w:val="0"/>
                <w:szCs w:val="21"/>
                <w:lang w:val="en-US" w:eastAsia="zh-CN" w:bidi="ar"/>
              </w:rPr>
              <w:t>6</w:t>
            </w:r>
            <w:r>
              <w:rPr>
                <w:rFonts w:hint="eastAsia" w:ascii="宋体" w:hAnsi="宋体" w:cs="宋体"/>
                <w:kern w:val="0"/>
                <w:szCs w:val="21"/>
                <w:lang w:bidi="ar"/>
              </w:rPr>
              <w:t>分扣完为止，不提供不得分。</w:t>
            </w:r>
          </w:p>
        </w:tc>
      </w:tr>
      <w:tr w14:paraId="1A3C1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694" w:type="dxa"/>
            <w:vMerge w:val="continue"/>
            <w:noWrap w:val="0"/>
            <w:vAlign w:val="center"/>
          </w:tcPr>
          <w:p w14:paraId="145D1931">
            <w:pPr>
              <w:widowControl/>
              <w:tabs>
                <w:tab w:val="left" w:pos="810"/>
                <w:tab w:val="left" w:pos="907"/>
                <w:tab w:val="left" w:pos="1265"/>
              </w:tabs>
              <w:ind w:left="0" w:firstLine="420"/>
              <w:jc w:val="left"/>
            </w:pPr>
          </w:p>
        </w:tc>
        <w:tc>
          <w:tcPr>
            <w:tcW w:w="1069" w:type="dxa"/>
            <w:vMerge w:val="continue"/>
            <w:noWrap w:val="0"/>
            <w:vAlign w:val="center"/>
          </w:tcPr>
          <w:p w14:paraId="07B1428E">
            <w:pPr>
              <w:widowControl/>
              <w:tabs>
                <w:tab w:val="left" w:pos="810"/>
                <w:tab w:val="left" w:pos="907"/>
                <w:tab w:val="left" w:pos="1265"/>
              </w:tabs>
              <w:ind w:left="0" w:firstLine="420"/>
              <w:jc w:val="left"/>
            </w:pPr>
          </w:p>
        </w:tc>
        <w:tc>
          <w:tcPr>
            <w:tcW w:w="1492" w:type="dxa"/>
            <w:noWrap w:val="0"/>
            <w:vAlign w:val="center"/>
          </w:tcPr>
          <w:p w14:paraId="7B46E341">
            <w:pPr>
              <w:jc w:val="center"/>
              <w:rPr>
                <w:rFonts w:hint="default" w:ascii="宋体" w:hAnsi="宋体" w:eastAsia="宋体" w:cs="Times New Roman"/>
                <w:b w:val="0"/>
                <w:bCs w:val="0"/>
                <w:sz w:val="22"/>
                <w:szCs w:val="22"/>
                <w:lang w:val="en-US" w:eastAsia="zh-CN"/>
              </w:rPr>
            </w:pPr>
            <w:r>
              <w:rPr>
                <w:rFonts w:hint="eastAsia" w:ascii="宋体" w:hAnsi="宋体" w:eastAsia="宋体" w:cs="Times New Roman"/>
                <w:b w:val="0"/>
                <w:bCs w:val="0"/>
                <w:sz w:val="22"/>
                <w:szCs w:val="22"/>
                <w:lang w:val="en-US" w:eastAsia="zh-CN"/>
              </w:rPr>
              <w:t>增值服务方案</w:t>
            </w:r>
            <w:r>
              <w:rPr>
                <w:rFonts w:hint="eastAsia" w:ascii="宋体" w:hAnsi="宋体" w:cs="Times New Roman"/>
                <w:b w:val="0"/>
                <w:bCs w:val="0"/>
                <w:sz w:val="22"/>
                <w:szCs w:val="22"/>
                <w:lang w:val="en-US" w:eastAsia="zh-CN"/>
              </w:rPr>
              <w:t>（</w:t>
            </w:r>
            <w:r>
              <w:rPr>
                <w:rFonts w:hint="eastAsia" w:ascii="宋体" w:hAnsi="宋体" w:cs="宋体"/>
                <w:color w:val="auto"/>
                <w:szCs w:val="24"/>
                <w:lang w:val="en-US" w:eastAsia="zh-CN" w:bidi="ar"/>
              </w:rPr>
              <w:t>4</w:t>
            </w:r>
            <w:r>
              <w:rPr>
                <w:rFonts w:hint="eastAsia" w:ascii="宋体" w:hAnsi="宋体" w:eastAsia="宋体" w:cs="宋体"/>
                <w:color w:val="auto"/>
                <w:szCs w:val="24"/>
                <w:lang w:bidi="ar"/>
              </w:rPr>
              <w:t>分</w:t>
            </w:r>
            <w:r>
              <w:rPr>
                <w:rFonts w:hint="eastAsia" w:ascii="宋体" w:hAnsi="宋体" w:cs="Times New Roman"/>
                <w:b w:val="0"/>
                <w:bCs w:val="0"/>
                <w:sz w:val="22"/>
                <w:szCs w:val="22"/>
                <w:lang w:val="en-US" w:eastAsia="zh-CN"/>
              </w:rPr>
              <w:t>）</w:t>
            </w:r>
          </w:p>
        </w:tc>
        <w:tc>
          <w:tcPr>
            <w:tcW w:w="6377" w:type="dxa"/>
            <w:noWrap w:val="0"/>
            <w:vAlign w:val="center"/>
          </w:tcPr>
          <w:p w14:paraId="405312F9">
            <w:pPr>
              <w:spacing w:line="240" w:lineRule="auto"/>
              <w:ind w:firstLine="420"/>
              <w:jc w:val="left"/>
              <w:rPr>
                <w:rFonts w:hint="default" w:ascii="宋体" w:hAnsi="宋体" w:eastAsia="宋体" w:cs="宋体"/>
                <w:color w:val="auto"/>
                <w:szCs w:val="24"/>
                <w:lang w:val="en-US" w:eastAsia="zh-CN" w:bidi="ar"/>
              </w:rPr>
            </w:pPr>
            <w:r>
              <w:rPr>
                <w:rFonts w:hint="eastAsia" w:ascii="宋体" w:hAnsi="宋体" w:eastAsia="宋体" w:cs="宋体"/>
                <w:color w:val="auto"/>
                <w:szCs w:val="24"/>
                <w:lang w:bidi="ar"/>
              </w:rPr>
              <w:t>投标人需针对本项目提供增值服务方案，方案中包含增值服务</w:t>
            </w:r>
            <w:r>
              <w:rPr>
                <w:rFonts w:hint="eastAsia" w:ascii="宋体" w:hAnsi="宋体" w:cs="宋体"/>
                <w:color w:val="auto"/>
                <w:szCs w:val="24"/>
                <w:lang w:eastAsia="zh-CN" w:bidi="ar"/>
              </w:rPr>
              <w:t>、</w:t>
            </w:r>
            <w:r>
              <w:rPr>
                <w:rFonts w:hint="eastAsia" w:ascii="宋体" w:hAnsi="宋体" w:eastAsia="宋体" w:cs="宋体"/>
                <w:color w:val="auto"/>
                <w:szCs w:val="24"/>
                <w:lang w:bidi="ar"/>
              </w:rPr>
              <w:t>优惠措施</w:t>
            </w:r>
            <w:r>
              <w:rPr>
                <w:rFonts w:hint="eastAsia" w:ascii="宋体" w:hAnsi="宋体" w:cs="宋体"/>
                <w:color w:val="auto"/>
                <w:szCs w:val="24"/>
                <w:lang w:val="en-US" w:eastAsia="zh-CN" w:bidi="ar"/>
              </w:rPr>
              <w:t>等方面。</w:t>
            </w:r>
          </w:p>
          <w:p w14:paraId="364A9842">
            <w:pPr>
              <w:spacing w:line="240" w:lineRule="auto"/>
              <w:ind w:firstLine="420"/>
              <w:jc w:val="left"/>
              <w:rPr>
                <w:rFonts w:hint="default" w:ascii="宋体" w:hAnsi="宋体" w:eastAsia="宋体" w:cs="宋体"/>
                <w:color w:val="auto"/>
                <w:szCs w:val="24"/>
                <w:lang w:val="en-US" w:eastAsia="zh-CN" w:bidi="ar"/>
              </w:rPr>
            </w:pPr>
            <w:r>
              <w:rPr>
                <w:rFonts w:hint="eastAsia" w:ascii="宋体" w:hAnsi="宋体" w:cs="宋体"/>
                <w:kern w:val="0"/>
                <w:szCs w:val="21"/>
                <w:lang w:bidi="ar"/>
              </w:rPr>
              <w:t>方案合理完整完全满足采购人实际需求的得</w:t>
            </w:r>
            <w:r>
              <w:rPr>
                <w:rFonts w:hint="eastAsia" w:ascii="宋体" w:hAnsi="宋体" w:cs="宋体"/>
                <w:kern w:val="0"/>
                <w:szCs w:val="21"/>
                <w:lang w:val="en-US" w:eastAsia="zh-CN" w:bidi="ar"/>
              </w:rPr>
              <w:t>4</w:t>
            </w:r>
            <w:r>
              <w:rPr>
                <w:rFonts w:hint="eastAsia" w:ascii="宋体" w:hAnsi="宋体" w:cs="宋体"/>
                <w:kern w:val="0"/>
                <w:szCs w:val="21"/>
                <w:lang w:bidi="ar"/>
              </w:rPr>
              <w:t>分，每有一内容缺失的扣</w:t>
            </w:r>
            <w:r>
              <w:rPr>
                <w:rFonts w:hint="eastAsia" w:ascii="宋体" w:hAnsi="宋体" w:cs="宋体"/>
                <w:kern w:val="0"/>
                <w:szCs w:val="21"/>
                <w:lang w:val="en-US" w:eastAsia="zh-CN" w:bidi="ar"/>
              </w:rPr>
              <w:t>2</w:t>
            </w:r>
            <w:r>
              <w:rPr>
                <w:rFonts w:hint="eastAsia" w:ascii="宋体" w:hAnsi="宋体" w:cs="宋体"/>
                <w:kern w:val="0"/>
                <w:szCs w:val="21"/>
                <w:lang w:bidi="ar"/>
              </w:rPr>
              <w:t>分；每有一处存在缺陷（缺陷是指不适用于本项目，表述前后不一致或内容矛盾，语句有歧义，仅有框架或标题，涉及的规范及标准错误，套用其他项目内容等任意一种情形）的扣</w:t>
            </w:r>
            <w:r>
              <w:rPr>
                <w:rFonts w:hint="eastAsia" w:ascii="宋体" w:hAnsi="宋体" w:cs="宋体"/>
                <w:kern w:val="0"/>
                <w:szCs w:val="21"/>
                <w:lang w:val="en-US" w:eastAsia="zh-CN" w:bidi="ar"/>
              </w:rPr>
              <w:t>1</w:t>
            </w:r>
            <w:r>
              <w:rPr>
                <w:rFonts w:hint="eastAsia" w:ascii="宋体" w:hAnsi="宋体" w:cs="宋体"/>
                <w:kern w:val="0"/>
                <w:szCs w:val="21"/>
                <w:lang w:bidi="ar"/>
              </w:rPr>
              <w:t>分，直至该项分值</w:t>
            </w:r>
            <w:r>
              <w:rPr>
                <w:rFonts w:hint="eastAsia" w:ascii="宋体" w:hAnsi="宋体" w:cs="宋体"/>
                <w:kern w:val="0"/>
                <w:szCs w:val="21"/>
                <w:lang w:val="en-US" w:eastAsia="zh-CN" w:bidi="ar"/>
              </w:rPr>
              <w:t>4</w:t>
            </w:r>
            <w:r>
              <w:rPr>
                <w:rFonts w:hint="eastAsia" w:ascii="宋体" w:hAnsi="宋体" w:cs="宋体"/>
                <w:kern w:val="0"/>
                <w:szCs w:val="21"/>
                <w:lang w:bidi="ar"/>
              </w:rPr>
              <w:t>分扣完为止，不提供不得分。</w:t>
            </w:r>
          </w:p>
        </w:tc>
      </w:tr>
    </w:tbl>
    <w:p w14:paraId="2031792B">
      <w:pPr>
        <w:pStyle w:val="321"/>
        <w:keepNext w:val="0"/>
        <w:keepLines w:val="0"/>
        <w:pageBreakBefore w:val="0"/>
        <w:spacing w:line="460" w:lineRule="exact"/>
        <w:ind w:firstLine="482"/>
        <w:rPr>
          <w:rStyle w:val="308"/>
          <w:rFonts w:hint="eastAsia" w:ascii="宋体" w:hAnsi="宋体" w:cs="宋体"/>
          <w:b/>
          <w:bCs/>
          <w:color w:val="auto"/>
          <w:sz w:val="24"/>
          <w:szCs w:val="24"/>
          <w:highlight w:val="none"/>
        </w:rPr>
      </w:pPr>
      <w:r>
        <w:rPr>
          <w:rStyle w:val="308"/>
          <w:rFonts w:ascii="宋体" w:hAnsi="宋体" w:cs="宋体"/>
          <w:b/>
          <w:bCs/>
          <w:color w:val="auto"/>
          <w:sz w:val="24"/>
          <w:szCs w:val="24"/>
          <w:highlight w:val="none"/>
          <w:lang w:val="zh-TW" w:eastAsia="zh-TW"/>
        </w:rPr>
        <w:t>定标办法</w:t>
      </w:r>
    </w:p>
    <w:p w14:paraId="3B229ADC">
      <w:pPr>
        <w:pStyle w:val="321"/>
        <w:keepNext w:val="0"/>
        <w:keepLines w:val="0"/>
        <w:pageBreakBefore w:val="0"/>
        <w:spacing w:line="460" w:lineRule="exact"/>
        <w:ind w:firstLine="480"/>
        <w:rPr>
          <w:rStyle w:val="308"/>
          <w:rFonts w:hint="eastAsia" w:ascii="宋体"/>
          <w:color w:val="auto"/>
          <w:sz w:val="24"/>
          <w:szCs w:val="24"/>
          <w:highlight w:val="none"/>
          <w:lang w:val="zh-TW"/>
        </w:rPr>
      </w:pPr>
      <w:r>
        <w:rPr>
          <w:rStyle w:val="308"/>
          <w:rFonts w:ascii="宋体"/>
          <w:color w:val="auto"/>
          <w:sz w:val="24"/>
          <w:szCs w:val="24"/>
          <w:highlight w:val="none"/>
          <w:lang w:val="zh-TW"/>
        </w:rPr>
        <w:t>1、最终取累计评审总得分高的第一名为中标候选人。</w:t>
      </w:r>
    </w:p>
    <w:p w14:paraId="1607A5DD">
      <w:pPr>
        <w:pStyle w:val="321"/>
        <w:keepNext w:val="0"/>
        <w:keepLines w:val="0"/>
        <w:pageBreakBefore w:val="0"/>
        <w:spacing w:line="460" w:lineRule="exact"/>
        <w:ind w:firstLine="480"/>
        <w:rPr>
          <w:rStyle w:val="308"/>
          <w:rFonts w:hint="eastAsia" w:ascii="宋体"/>
          <w:color w:val="auto"/>
          <w:sz w:val="24"/>
          <w:szCs w:val="24"/>
          <w:highlight w:val="none"/>
          <w:lang w:val="zh-TW"/>
        </w:rPr>
      </w:pPr>
      <w:r>
        <w:rPr>
          <w:rStyle w:val="308"/>
          <w:rFonts w:ascii="宋体"/>
          <w:color w:val="auto"/>
          <w:sz w:val="24"/>
          <w:szCs w:val="24"/>
          <w:highlight w:val="none"/>
          <w:lang w:val="zh-TW"/>
        </w:rPr>
        <w:t>2、评委打分取所有成员的算术平均值作为投标人该项得分。</w:t>
      </w:r>
    </w:p>
    <w:p w14:paraId="64956951">
      <w:pPr>
        <w:keepNext w:val="0"/>
        <w:keepLines w:val="0"/>
        <w:pageBreakBefore w:val="0"/>
        <w:spacing w:line="460" w:lineRule="exact"/>
        <w:ind w:firstLine="470"/>
        <w:rPr>
          <w:rStyle w:val="308"/>
          <w:rFonts w:hint="eastAsia" w:ascii="宋体" w:hAnsi="宋体"/>
          <w:color w:val="auto"/>
          <w:sz w:val="24"/>
          <w:szCs w:val="24"/>
          <w:highlight w:val="none"/>
        </w:rPr>
      </w:pPr>
      <w:r>
        <w:rPr>
          <w:rStyle w:val="308"/>
          <w:rFonts w:ascii="宋体" w:hAnsi="宋体"/>
          <w:color w:val="auto"/>
          <w:sz w:val="24"/>
          <w:szCs w:val="24"/>
          <w:highlight w:val="none"/>
        </w:rPr>
        <w:t>3、采用综合评分法的，评标结果按评审后得分由高到低顺序排列，得分相同的，按投标报价得分由低到高顺序排列。得分且投标报价相同的由采购人委托评标委员会采取随机抽取方式确定。投标文件满足招标文件全部实质性要求，且按照评审因素的量化指标评审得分最高的投标人为排名第一的中标候选人。</w:t>
      </w:r>
    </w:p>
    <w:p w14:paraId="00055BFE">
      <w:pPr>
        <w:pStyle w:val="321"/>
        <w:keepNext w:val="0"/>
        <w:keepLines w:val="0"/>
        <w:pageBreakBefore w:val="0"/>
        <w:spacing w:line="460" w:lineRule="exact"/>
        <w:ind w:firstLine="480"/>
        <w:rPr>
          <w:rStyle w:val="308"/>
          <w:rFonts w:hint="eastAsia" w:ascii="宋体"/>
          <w:color w:val="auto"/>
          <w:sz w:val="24"/>
          <w:szCs w:val="24"/>
          <w:highlight w:val="none"/>
          <w:lang w:val="zh-TW"/>
        </w:rPr>
      </w:pPr>
      <w:r>
        <w:rPr>
          <w:rStyle w:val="308"/>
          <w:rFonts w:hint="eastAsia" w:ascii="宋体"/>
          <w:color w:val="auto"/>
          <w:sz w:val="24"/>
          <w:szCs w:val="24"/>
          <w:highlight w:val="none"/>
        </w:rPr>
        <w:t>4</w:t>
      </w:r>
      <w:r>
        <w:rPr>
          <w:rStyle w:val="308"/>
          <w:rFonts w:ascii="宋体"/>
          <w:color w:val="auto"/>
          <w:sz w:val="24"/>
          <w:szCs w:val="24"/>
          <w:highlight w:val="none"/>
          <w:lang w:val="zh-TW"/>
        </w:rPr>
        <w:t>、评标委员会决定投标文件的响应性只根据投标文件本身的内容，而不寻求外部的证据。</w:t>
      </w:r>
    </w:p>
    <w:p w14:paraId="4C3D401E">
      <w:pPr>
        <w:pStyle w:val="321"/>
        <w:keepNext w:val="0"/>
        <w:keepLines w:val="0"/>
        <w:pageBreakBefore w:val="0"/>
        <w:spacing w:line="460" w:lineRule="exact"/>
        <w:ind w:firstLine="480"/>
        <w:rPr>
          <w:rStyle w:val="308"/>
          <w:rFonts w:hint="eastAsia" w:ascii="宋体"/>
          <w:color w:val="auto"/>
          <w:sz w:val="24"/>
          <w:szCs w:val="24"/>
          <w:highlight w:val="none"/>
          <w:lang w:val="zh-TW"/>
        </w:rPr>
      </w:pPr>
      <w:r>
        <w:rPr>
          <w:rStyle w:val="308"/>
          <w:rFonts w:hint="eastAsia" w:ascii="宋体"/>
          <w:color w:val="auto"/>
          <w:sz w:val="24"/>
          <w:szCs w:val="24"/>
          <w:highlight w:val="none"/>
        </w:rPr>
        <w:t>5</w:t>
      </w:r>
      <w:r>
        <w:rPr>
          <w:rStyle w:val="308"/>
          <w:rFonts w:ascii="宋体"/>
          <w:color w:val="auto"/>
          <w:sz w:val="24"/>
          <w:szCs w:val="24"/>
          <w:highlight w:val="none"/>
          <w:lang w:val="zh-TW"/>
        </w:rPr>
        <w:t>、对不中标的候选人，招标人有权不作任何解释。</w:t>
      </w:r>
    </w:p>
    <w:p w14:paraId="23104E90">
      <w:pPr>
        <w:keepNext w:val="0"/>
        <w:keepLines w:val="0"/>
        <w:pageBreakBefore w:val="0"/>
        <w:spacing w:line="460" w:lineRule="exact"/>
        <w:ind w:firstLine="470"/>
        <w:rPr>
          <w:rFonts w:hint="eastAsia" w:ascii="宋体" w:hAnsi="宋体"/>
          <w:b/>
          <w:bCs/>
          <w:color w:val="auto"/>
          <w:sz w:val="24"/>
          <w:highlight w:val="none"/>
        </w:rPr>
      </w:pPr>
      <w:r>
        <w:rPr>
          <w:rFonts w:hint="eastAsia" w:ascii="宋体" w:hAnsi="宋体"/>
          <w:b/>
          <w:bCs/>
          <w:color w:val="auto"/>
          <w:sz w:val="24"/>
          <w:highlight w:val="none"/>
        </w:rPr>
        <w:t>六、 其它</w:t>
      </w:r>
    </w:p>
    <w:p w14:paraId="02B52DE6">
      <w:pPr>
        <w:keepNext w:val="0"/>
        <w:keepLines w:val="0"/>
        <w:pageBreakBefore w:val="0"/>
        <w:spacing w:line="460" w:lineRule="exact"/>
        <w:ind w:firstLine="480"/>
        <w:rPr>
          <w:color w:val="auto"/>
          <w:szCs w:val="21"/>
          <w:highlight w:val="none"/>
        </w:rPr>
      </w:pPr>
      <w:r>
        <w:rPr>
          <w:rFonts w:hint="eastAsia" w:ascii="宋体" w:hAnsi="宋体"/>
          <w:color w:val="auto"/>
          <w:sz w:val="24"/>
          <w:highlight w:val="none"/>
        </w:rPr>
        <w:t>本办法未述及的事宜，由评标委员会依据法律法规规定处理。</w:t>
      </w:r>
    </w:p>
    <w:p w14:paraId="2B74A3EB">
      <w:pPr>
        <w:keepNext/>
        <w:jc w:val="center"/>
        <w:outlineLvl w:val="0"/>
        <w:rPr>
          <w:rFonts w:ascii="黑体" w:eastAsia="黑体"/>
          <w:bCs/>
          <w:color w:val="auto"/>
          <w:sz w:val="44"/>
          <w:szCs w:val="28"/>
          <w:highlight w:val="none"/>
        </w:rPr>
      </w:pPr>
      <w:r>
        <w:rPr>
          <w:rFonts w:ascii="黑体" w:eastAsia="黑体"/>
          <w:bCs/>
          <w:color w:val="auto"/>
          <w:sz w:val="44"/>
          <w:szCs w:val="28"/>
          <w:highlight w:val="none"/>
        </w:rPr>
        <w:br w:type="page" w:clear="all"/>
      </w:r>
    </w:p>
    <w:p w14:paraId="7884EE95">
      <w:pPr>
        <w:keepNext/>
        <w:jc w:val="center"/>
        <w:outlineLvl w:val="0"/>
        <w:rPr>
          <w:rFonts w:ascii="黑体" w:eastAsia="黑体"/>
          <w:bCs/>
          <w:color w:val="auto"/>
          <w:sz w:val="44"/>
          <w:szCs w:val="28"/>
          <w:highlight w:val="none"/>
        </w:rPr>
      </w:pPr>
    </w:p>
    <w:p w14:paraId="395D4256">
      <w:pPr>
        <w:keepNext/>
        <w:jc w:val="center"/>
        <w:outlineLvl w:val="0"/>
        <w:rPr>
          <w:rFonts w:ascii="黑体" w:eastAsia="黑体"/>
          <w:bCs/>
          <w:color w:val="auto"/>
          <w:sz w:val="44"/>
          <w:szCs w:val="28"/>
          <w:highlight w:val="none"/>
        </w:rPr>
      </w:pPr>
    </w:p>
    <w:p w14:paraId="4F36CB59">
      <w:pPr>
        <w:keepNext/>
        <w:jc w:val="center"/>
        <w:outlineLvl w:val="0"/>
        <w:rPr>
          <w:rFonts w:ascii="黑体" w:eastAsia="黑体"/>
          <w:bCs/>
          <w:color w:val="auto"/>
          <w:sz w:val="44"/>
          <w:szCs w:val="28"/>
          <w:highlight w:val="none"/>
        </w:rPr>
      </w:pPr>
      <w:r>
        <w:rPr>
          <w:rFonts w:hint="eastAsia" w:ascii="黑体" w:eastAsia="黑体"/>
          <w:bCs/>
          <w:color w:val="auto"/>
          <w:sz w:val="44"/>
          <w:szCs w:val="28"/>
          <w:highlight w:val="none"/>
        </w:rPr>
        <w:t xml:space="preserve">第六章  投标文件格式 </w:t>
      </w:r>
    </w:p>
    <w:p w14:paraId="2404AADE">
      <w:pPr>
        <w:jc w:val="center"/>
        <w:rPr>
          <w:rFonts w:hint="eastAsia" w:ascii="宋体" w:hAnsi="宋体"/>
          <w:b/>
          <w:color w:val="auto"/>
          <w:sz w:val="72"/>
          <w:szCs w:val="21"/>
          <w:highlight w:val="none"/>
        </w:rPr>
      </w:pPr>
      <w:bookmarkStart w:id="179" w:name="_Hlt26955039"/>
      <w:bookmarkEnd w:id="179"/>
      <w:bookmarkStart w:id="180" w:name="_Hlt26671244"/>
      <w:bookmarkEnd w:id="180"/>
      <w:bookmarkStart w:id="181" w:name="_Toc49090576"/>
      <w:bookmarkStart w:id="182" w:name="_Toc120614282"/>
      <w:bookmarkStart w:id="183" w:name="_Toc26554094"/>
    </w:p>
    <w:p w14:paraId="672D0DA8">
      <w:pPr>
        <w:jc w:val="center"/>
        <w:rPr>
          <w:rFonts w:hint="eastAsia" w:ascii="宋体" w:hAnsi="宋体"/>
          <w:b/>
          <w:color w:val="auto"/>
          <w:sz w:val="72"/>
          <w:szCs w:val="21"/>
          <w:highlight w:val="none"/>
        </w:rPr>
      </w:pPr>
      <w:r>
        <w:rPr>
          <w:rFonts w:hint="eastAsia" w:ascii="宋体" w:hAnsi="宋体"/>
          <w:b/>
          <w:color w:val="auto"/>
          <w:sz w:val="72"/>
          <w:szCs w:val="21"/>
          <w:highlight w:val="none"/>
        </w:rPr>
        <w:t>投  标  文  件</w:t>
      </w:r>
    </w:p>
    <w:p w14:paraId="16FF6029">
      <w:pPr>
        <w:jc w:val="center"/>
        <w:rPr>
          <w:rFonts w:hint="eastAsia" w:ascii="宋体" w:hAnsi="宋体"/>
          <w:b/>
          <w:color w:val="auto"/>
          <w:sz w:val="72"/>
          <w:szCs w:val="21"/>
          <w:highlight w:val="none"/>
        </w:rPr>
      </w:pPr>
    </w:p>
    <w:p w14:paraId="1D4D3B09">
      <w:pPr>
        <w:jc w:val="center"/>
        <w:rPr>
          <w:rFonts w:hint="eastAsia" w:ascii="宋体" w:hAnsi="宋体"/>
          <w:b/>
          <w:color w:val="auto"/>
          <w:sz w:val="72"/>
          <w:szCs w:val="21"/>
          <w:highlight w:val="none"/>
        </w:rPr>
      </w:pPr>
    </w:p>
    <w:p w14:paraId="69692E6A">
      <w:pPr>
        <w:jc w:val="center"/>
        <w:rPr>
          <w:rFonts w:hint="eastAsia" w:ascii="宋体" w:hAnsi="宋体"/>
          <w:b/>
          <w:color w:val="auto"/>
          <w:sz w:val="36"/>
          <w:szCs w:val="21"/>
          <w:highlight w:val="none"/>
        </w:rPr>
      </w:pPr>
    </w:p>
    <w:p w14:paraId="41CA7CC7">
      <w:pPr>
        <w:jc w:val="center"/>
        <w:rPr>
          <w:rFonts w:hint="eastAsia" w:ascii="宋体" w:hAnsi="宋体"/>
          <w:b/>
          <w:color w:val="auto"/>
          <w:sz w:val="36"/>
          <w:szCs w:val="21"/>
          <w:highlight w:val="none"/>
        </w:rPr>
      </w:pPr>
    </w:p>
    <w:p w14:paraId="2A490E9F">
      <w:pPr>
        <w:jc w:val="center"/>
        <w:rPr>
          <w:rFonts w:hint="eastAsia" w:ascii="宋体" w:hAnsi="宋体"/>
          <w:b/>
          <w:color w:val="auto"/>
          <w:sz w:val="36"/>
          <w:szCs w:val="21"/>
          <w:highlight w:val="none"/>
        </w:rPr>
      </w:pPr>
    </w:p>
    <w:p w14:paraId="25679CB4">
      <w:pPr>
        <w:spacing w:line="480" w:lineRule="auto"/>
        <w:ind w:firstLine="1084"/>
        <w:rPr>
          <w:rFonts w:hint="eastAsia" w:ascii="宋体" w:hAnsi="宋体"/>
          <w:b/>
          <w:color w:val="auto"/>
          <w:sz w:val="36"/>
          <w:szCs w:val="21"/>
          <w:highlight w:val="none"/>
        </w:rPr>
      </w:pPr>
      <w:r>
        <w:rPr>
          <w:rFonts w:hint="eastAsia" w:ascii="宋体" w:hAnsi="宋体"/>
          <w:b/>
          <w:color w:val="auto"/>
          <w:sz w:val="36"/>
          <w:szCs w:val="21"/>
          <w:highlight w:val="none"/>
        </w:rPr>
        <w:t>项 目 名 称：</w:t>
      </w:r>
      <w:r>
        <w:rPr>
          <w:rFonts w:hint="eastAsia" w:ascii="宋体" w:hAnsi="宋体"/>
          <w:b/>
          <w:color w:val="auto"/>
          <w:sz w:val="36"/>
          <w:szCs w:val="21"/>
          <w:highlight w:val="none"/>
          <w:u w:val="single"/>
        </w:rPr>
        <w:t xml:space="preserve">                     </w:t>
      </w:r>
    </w:p>
    <w:p w14:paraId="216E9265">
      <w:pPr>
        <w:spacing w:line="480" w:lineRule="auto"/>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项 目 编 号：</w:t>
      </w:r>
      <w:r>
        <w:rPr>
          <w:rFonts w:hint="eastAsia" w:ascii="宋体" w:hAnsi="宋体"/>
          <w:b/>
          <w:color w:val="auto"/>
          <w:sz w:val="36"/>
          <w:szCs w:val="21"/>
          <w:highlight w:val="none"/>
          <w:u w:val="single"/>
        </w:rPr>
        <w:t xml:space="preserve">                     </w:t>
      </w:r>
    </w:p>
    <w:p w14:paraId="2EF86EC9">
      <w:pPr>
        <w:spacing w:line="48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 （加盖CA电子公章） </w:t>
      </w:r>
    </w:p>
    <w:p w14:paraId="5D3C7E56">
      <w:pPr>
        <w:spacing w:line="48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p>
    <w:p w14:paraId="15AAEE81">
      <w:pPr>
        <w:spacing w:line="440" w:lineRule="exact"/>
        <w:jc w:val="center"/>
        <w:rPr>
          <w:rFonts w:hint="eastAsia" w:ascii="宋体" w:hAnsi="宋体"/>
          <w:b/>
          <w:bCs/>
          <w:color w:val="auto"/>
          <w:sz w:val="32"/>
          <w:szCs w:val="32"/>
          <w:highlight w:val="none"/>
        </w:rPr>
      </w:pPr>
    </w:p>
    <w:p w14:paraId="77B0E6D5">
      <w:pPr>
        <w:spacing w:line="440" w:lineRule="exact"/>
        <w:rPr>
          <w:rFonts w:hint="eastAsia" w:ascii="宋体" w:hAnsi="宋体"/>
          <w:color w:val="auto"/>
          <w:szCs w:val="21"/>
          <w:highlight w:val="none"/>
        </w:rPr>
      </w:pPr>
    </w:p>
    <w:p w14:paraId="152506C3">
      <w:pPr>
        <w:spacing w:line="440" w:lineRule="exact"/>
        <w:rPr>
          <w:rFonts w:hint="eastAsia" w:ascii="宋体" w:hAnsi="宋体"/>
          <w:color w:val="auto"/>
          <w:szCs w:val="21"/>
          <w:highlight w:val="none"/>
        </w:rPr>
      </w:pPr>
    </w:p>
    <w:p w14:paraId="52AF13FD">
      <w:pPr>
        <w:widowControl/>
        <w:jc w:val="left"/>
        <w:rPr>
          <w:rFonts w:hint="eastAsia" w:ascii="宋体" w:hAnsi="宋体"/>
          <w:b/>
          <w:bCs/>
          <w:color w:val="auto"/>
          <w:sz w:val="32"/>
          <w:szCs w:val="32"/>
          <w:highlight w:val="none"/>
        </w:rPr>
      </w:pPr>
      <w:r>
        <w:rPr>
          <w:rFonts w:ascii="宋体" w:hAnsi="宋体"/>
          <w:b/>
          <w:bCs/>
          <w:color w:val="auto"/>
          <w:sz w:val="32"/>
          <w:szCs w:val="32"/>
          <w:highlight w:val="none"/>
        </w:rPr>
        <w:br w:type="page" w:clear="all"/>
      </w:r>
    </w:p>
    <w:p w14:paraId="7A700482">
      <w:pPr>
        <w:spacing w:line="440" w:lineRule="exact"/>
        <w:jc w:val="center"/>
        <w:rPr>
          <w:rFonts w:hint="eastAsia" w:ascii="宋体" w:hAnsi="宋体"/>
          <w:b/>
          <w:bCs/>
          <w:color w:val="auto"/>
          <w:sz w:val="32"/>
          <w:szCs w:val="32"/>
          <w:highlight w:val="none"/>
        </w:rPr>
      </w:pPr>
      <w:r>
        <w:rPr>
          <w:rFonts w:hint="eastAsia" w:ascii="宋体" w:hAnsi="宋体"/>
          <w:b/>
          <w:bCs/>
          <w:color w:val="auto"/>
          <w:sz w:val="32"/>
          <w:szCs w:val="32"/>
          <w:highlight w:val="none"/>
        </w:rPr>
        <w:t>投标文件目录</w:t>
      </w:r>
    </w:p>
    <w:p w14:paraId="6B8D9B97">
      <w:pPr>
        <w:keepNext w:val="0"/>
        <w:keepLines w:val="0"/>
        <w:pageBreakBefore w:val="0"/>
        <w:spacing w:line="460" w:lineRule="exact"/>
        <w:jc w:val="center"/>
        <w:rPr>
          <w:rFonts w:hint="eastAsia" w:ascii="宋体" w:hAnsi="宋体"/>
          <w:b/>
          <w:bCs/>
          <w:color w:val="auto"/>
          <w:sz w:val="32"/>
          <w:szCs w:val="32"/>
          <w:highlight w:val="none"/>
        </w:rPr>
      </w:pPr>
    </w:p>
    <w:p w14:paraId="4B9EC437">
      <w:pPr>
        <w:keepNext w:val="0"/>
        <w:keepLines w:val="0"/>
        <w:pageBreakBefore w:val="0"/>
        <w:numPr>
          <w:ilvl w:val="0"/>
          <w:numId w:val="7"/>
        </w:numPr>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法人或者其他组织的营业执照等证明文件，自然人的身份证明</w:t>
      </w:r>
    </w:p>
    <w:p w14:paraId="3BFE70F9">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二、</w:t>
      </w:r>
      <w:r>
        <w:rPr>
          <w:rFonts w:hint="eastAsia" w:ascii="宋体" w:hAnsi="宋体" w:cs="宋体"/>
          <w:i/>
          <w:iCs/>
          <w:color w:val="auto"/>
          <w:sz w:val="24"/>
          <w:szCs w:val="24"/>
          <w:highlight w:val="none"/>
          <w:u w:val="single"/>
          <w:lang w:eastAsia="zh-CN"/>
        </w:rPr>
        <w:t>上一年度（2024年度）</w:t>
      </w:r>
      <w:r>
        <w:rPr>
          <w:rFonts w:hint="eastAsia" w:ascii="宋体" w:hAnsi="宋体" w:cs="宋体"/>
          <w:i/>
          <w:iCs/>
          <w:color w:val="auto"/>
          <w:sz w:val="24"/>
          <w:szCs w:val="24"/>
          <w:highlight w:val="none"/>
          <w:u w:val="single"/>
        </w:rPr>
        <w:t>的财务状况报告（财务报告至少应包括资产负债表、利润表</w:t>
      </w:r>
      <w:r>
        <w:rPr>
          <w:rFonts w:hint="eastAsia" w:ascii="宋体" w:hAnsi="宋体" w:cs="宋体"/>
          <w:i/>
          <w:iCs/>
          <w:color w:val="auto"/>
          <w:sz w:val="24"/>
          <w:szCs w:val="24"/>
          <w:highlight w:val="none"/>
          <w:u w:val="single"/>
          <w:lang w:eastAsia="zh-CN"/>
        </w:rPr>
        <w:t>，</w:t>
      </w:r>
      <w:r>
        <w:rPr>
          <w:rFonts w:hint="eastAsia" w:ascii="宋体" w:hAnsi="宋体" w:cs="宋体"/>
          <w:i/>
          <w:iCs/>
          <w:color w:val="auto"/>
          <w:sz w:val="24"/>
          <w:szCs w:val="24"/>
          <w:highlight w:val="none"/>
          <w:u w:val="single"/>
        </w:rPr>
        <w:t>距投标截止之日止，成立不满一年的</w:t>
      </w:r>
      <w:r>
        <w:rPr>
          <w:rFonts w:hint="eastAsia" w:ascii="宋体" w:hAnsi="宋体" w:cs="宋体"/>
          <w:i/>
          <w:iCs/>
          <w:color w:val="auto"/>
          <w:sz w:val="24"/>
          <w:szCs w:val="24"/>
          <w:highlight w:val="none"/>
          <w:u w:val="single"/>
          <w:lang w:eastAsia="zh-CN"/>
        </w:rPr>
        <w:t>投标人</w:t>
      </w:r>
      <w:r>
        <w:rPr>
          <w:rFonts w:hint="eastAsia" w:ascii="宋体" w:hAnsi="宋体" w:cs="宋体"/>
          <w:i/>
          <w:iCs/>
          <w:color w:val="auto"/>
          <w:sz w:val="24"/>
          <w:szCs w:val="24"/>
          <w:highlight w:val="none"/>
          <w:u w:val="single"/>
        </w:rPr>
        <w:t>无需提供）；</w:t>
      </w:r>
    </w:p>
    <w:p w14:paraId="51C6A11C">
      <w:pPr>
        <w:keepNext w:val="0"/>
        <w:keepLines w:val="0"/>
        <w:pageBreakBefore w:val="0"/>
        <w:spacing w:line="460" w:lineRule="exact"/>
        <w:ind w:firstLine="480"/>
        <w:rPr>
          <w:rFonts w:hint="eastAsia" w:ascii="宋体" w:hAnsi="宋体" w:cs="宋体"/>
          <w:b/>
          <w:i/>
          <w:iCs/>
          <w:color w:val="auto"/>
          <w:sz w:val="24"/>
          <w:szCs w:val="24"/>
          <w:highlight w:val="none"/>
          <w:u w:val="single"/>
        </w:rPr>
      </w:pPr>
      <w:r>
        <w:rPr>
          <w:rFonts w:hint="eastAsia" w:ascii="宋体" w:hAnsi="宋体" w:cs="宋体"/>
          <w:i/>
          <w:iCs/>
          <w:color w:val="auto"/>
          <w:sz w:val="24"/>
          <w:szCs w:val="24"/>
          <w:highlight w:val="none"/>
          <w:u w:val="single"/>
        </w:rPr>
        <w:t>三、具备履行合同所必需的设备和专业技术能力的书面声明</w:t>
      </w:r>
    </w:p>
    <w:p w14:paraId="71FF8D7B">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2C31BE79">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五、参加政府采购活动前 3 年内在经营活动中没有重大违法记录的书面声明</w:t>
      </w:r>
    </w:p>
    <w:p w14:paraId="4A7D7C48">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六</w:t>
      </w:r>
      <w:r>
        <w:rPr>
          <w:rFonts w:hint="eastAsia" w:ascii="宋体" w:hAnsi="宋体" w:cs="宋体"/>
          <w:i/>
          <w:iCs/>
          <w:color w:val="auto"/>
          <w:sz w:val="24"/>
          <w:szCs w:val="24"/>
          <w:highlight w:val="none"/>
          <w:u w:val="single"/>
        </w:rPr>
        <w:t>、供应商未被“信用中国”网站（www.creditchina.gov.cn）列入失信被执行人、重大税收违法失信主体、政府采购严重违法失信行为记录名单（投标人无须提供证明材料，由采购人或采购代理机构人员在评审前，登录“信用中国”网站查询，并将查询结果向评标委员会报告）；</w:t>
      </w:r>
    </w:p>
    <w:p w14:paraId="2B87ED72">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七</w:t>
      </w:r>
      <w:r>
        <w:rPr>
          <w:rFonts w:hint="eastAsia" w:ascii="宋体" w:hAnsi="宋体" w:cs="宋体"/>
          <w:i/>
          <w:iCs/>
          <w:color w:val="auto"/>
          <w:sz w:val="24"/>
          <w:szCs w:val="24"/>
          <w:highlight w:val="none"/>
          <w:u w:val="single"/>
        </w:rPr>
        <w:t>、单位负责人为同一人或者存在直接控股、管理关系的不同投标人，不得参加同一合同项下的政府采购活动</w:t>
      </w:r>
    </w:p>
    <w:p w14:paraId="7B8FDCB4">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八</w:t>
      </w:r>
      <w:r>
        <w:rPr>
          <w:rFonts w:hint="eastAsia" w:ascii="宋体" w:hAnsi="宋体" w:cs="宋体"/>
          <w:i/>
          <w:iCs/>
          <w:color w:val="auto"/>
          <w:sz w:val="24"/>
          <w:szCs w:val="24"/>
          <w:highlight w:val="none"/>
          <w:u w:val="single"/>
        </w:rPr>
        <w:t>、特定资格要求的证明文件（如果本项目设置特定资格要求，则需要提供）</w:t>
      </w:r>
    </w:p>
    <w:p w14:paraId="22FF7C87">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九</w:t>
      </w:r>
      <w:r>
        <w:rPr>
          <w:rFonts w:hint="eastAsia" w:ascii="宋体" w:hAnsi="宋体" w:cs="宋体"/>
          <w:i/>
          <w:iCs/>
          <w:color w:val="auto"/>
          <w:sz w:val="24"/>
          <w:szCs w:val="24"/>
          <w:highlight w:val="none"/>
          <w:u w:val="single"/>
        </w:rPr>
        <w:t>、法人授权书</w:t>
      </w:r>
    </w:p>
    <w:p w14:paraId="23A3DDFB">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十</w:t>
      </w:r>
      <w:r>
        <w:rPr>
          <w:rFonts w:hint="eastAsia" w:ascii="宋体" w:hAnsi="宋体" w:cs="宋体"/>
          <w:i/>
          <w:iCs/>
          <w:color w:val="auto"/>
          <w:sz w:val="24"/>
          <w:szCs w:val="24"/>
          <w:highlight w:val="none"/>
          <w:u w:val="single"/>
        </w:rPr>
        <w:t>、投标函</w:t>
      </w:r>
    </w:p>
    <w:p w14:paraId="3B9890CC">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十一</w:t>
      </w:r>
      <w:r>
        <w:rPr>
          <w:rFonts w:hint="eastAsia" w:ascii="宋体" w:hAnsi="宋体" w:cs="宋体"/>
          <w:i/>
          <w:iCs/>
          <w:color w:val="auto"/>
          <w:sz w:val="24"/>
          <w:szCs w:val="24"/>
          <w:highlight w:val="none"/>
          <w:u w:val="single"/>
        </w:rPr>
        <w:t>、中小企业声明函（残疾人福利性单位声明函</w:t>
      </w:r>
      <w:r>
        <w:rPr>
          <w:rFonts w:hint="eastAsia" w:ascii="宋体" w:hAnsi="宋体" w:cs="宋体"/>
          <w:i/>
          <w:iCs/>
          <w:color w:val="auto"/>
          <w:sz w:val="24"/>
          <w:szCs w:val="24"/>
          <w:highlight w:val="none"/>
          <w:u w:val="single"/>
          <w:lang w:val="en-US" w:eastAsia="zh-CN"/>
        </w:rPr>
        <w:t xml:space="preserve">   </w:t>
      </w:r>
      <w:r>
        <w:rPr>
          <w:rFonts w:hint="eastAsia" w:ascii="宋体" w:hAnsi="宋体" w:cs="宋体"/>
          <w:i/>
          <w:iCs/>
          <w:color w:val="auto"/>
          <w:sz w:val="24"/>
          <w:szCs w:val="24"/>
          <w:highlight w:val="none"/>
          <w:u w:val="single"/>
        </w:rPr>
        <w:t>监狱企业证明函）</w:t>
      </w:r>
    </w:p>
    <w:p w14:paraId="371A0E4A">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十二</w:t>
      </w:r>
      <w:r>
        <w:rPr>
          <w:rFonts w:hint="eastAsia" w:ascii="宋体" w:hAnsi="宋体" w:cs="宋体"/>
          <w:i/>
          <w:iCs/>
          <w:color w:val="auto"/>
          <w:sz w:val="24"/>
          <w:szCs w:val="24"/>
          <w:highlight w:val="none"/>
          <w:u w:val="single"/>
        </w:rPr>
        <w:t>、商务要求响应及偏离表</w:t>
      </w:r>
    </w:p>
    <w:p w14:paraId="68E72D2E">
      <w:pPr>
        <w:keepNext w:val="0"/>
        <w:keepLines w:val="0"/>
        <w:pageBreakBefore w:val="0"/>
        <w:spacing w:line="4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十</w:t>
      </w:r>
      <w:r>
        <w:rPr>
          <w:rFonts w:hint="eastAsia" w:ascii="宋体" w:hAnsi="宋体" w:cs="宋体"/>
          <w:color w:val="auto"/>
          <w:sz w:val="24"/>
          <w:szCs w:val="24"/>
          <w:highlight w:val="none"/>
          <w:lang w:val="en-US" w:eastAsia="zh-CN"/>
        </w:rPr>
        <w:t>三</w:t>
      </w:r>
      <w:r>
        <w:rPr>
          <w:rFonts w:hint="eastAsia" w:ascii="宋体" w:hAnsi="宋体" w:cs="宋体"/>
          <w:color w:val="auto"/>
          <w:sz w:val="24"/>
          <w:szCs w:val="24"/>
          <w:highlight w:val="none"/>
        </w:rPr>
        <w:t>、技术方案</w:t>
      </w:r>
    </w:p>
    <w:p w14:paraId="67E76092">
      <w:pPr>
        <w:pStyle w:val="45"/>
        <w:keepNext w:val="0"/>
        <w:keepLines w:val="0"/>
        <w:pageBreakBefore w:val="0"/>
        <w:spacing w:beforeAutospacing="0" w:afterAutospacing="0" w:line="460" w:lineRule="exact"/>
        <w:ind w:left="480"/>
        <w:jc w:val="both"/>
        <w:rPr>
          <w:rFonts w:hint="eastAsia"/>
          <w:color w:val="auto"/>
          <w:highlight w:val="none"/>
        </w:rPr>
      </w:pPr>
      <w:r>
        <w:rPr>
          <w:rFonts w:hint="eastAsia"/>
          <w:color w:val="auto"/>
          <w:highlight w:val="none"/>
        </w:rPr>
        <w:t>十</w:t>
      </w:r>
      <w:r>
        <w:rPr>
          <w:rFonts w:hint="eastAsia"/>
          <w:color w:val="auto"/>
          <w:highlight w:val="none"/>
          <w:lang w:val="en-US" w:eastAsia="zh-CN"/>
        </w:rPr>
        <w:t>四</w:t>
      </w:r>
      <w:r>
        <w:rPr>
          <w:rFonts w:hint="eastAsia"/>
          <w:color w:val="auto"/>
          <w:highlight w:val="none"/>
        </w:rPr>
        <w:t>、服务承诺</w:t>
      </w:r>
    </w:p>
    <w:p w14:paraId="1DF69F08">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十</w:t>
      </w:r>
      <w:r>
        <w:rPr>
          <w:rFonts w:hint="eastAsia" w:ascii="宋体" w:hAnsi="宋体" w:cs="宋体"/>
          <w:i/>
          <w:iCs/>
          <w:color w:val="auto"/>
          <w:sz w:val="24"/>
          <w:szCs w:val="24"/>
          <w:highlight w:val="none"/>
          <w:u w:val="single"/>
          <w:lang w:val="en-US" w:eastAsia="zh-CN"/>
        </w:rPr>
        <w:t>五</w:t>
      </w:r>
      <w:r>
        <w:rPr>
          <w:rFonts w:hint="eastAsia" w:ascii="宋体" w:hAnsi="宋体" w:cs="宋体"/>
          <w:i/>
          <w:iCs/>
          <w:color w:val="auto"/>
          <w:sz w:val="24"/>
          <w:szCs w:val="24"/>
          <w:highlight w:val="none"/>
          <w:u w:val="single"/>
        </w:rPr>
        <w:t>、开标一览表</w:t>
      </w:r>
    </w:p>
    <w:p w14:paraId="420B0A6B">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十</w:t>
      </w:r>
      <w:r>
        <w:rPr>
          <w:rFonts w:hint="eastAsia" w:ascii="宋体" w:hAnsi="宋体" w:cs="宋体"/>
          <w:i/>
          <w:iCs/>
          <w:color w:val="auto"/>
          <w:sz w:val="24"/>
          <w:szCs w:val="24"/>
          <w:highlight w:val="none"/>
          <w:u w:val="single"/>
          <w:lang w:val="en-US" w:eastAsia="zh-CN"/>
        </w:rPr>
        <w:t>六</w:t>
      </w:r>
      <w:r>
        <w:rPr>
          <w:rFonts w:hint="eastAsia" w:ascii="宋体" w:hAnsi="宋体" w:cs="宋体"/>
          <w:i/>
          <w:iCs/>
          <w:color w:val="auto"/>
          <w:sz w:val="24"/>
          <w:szCs w:val="24"/>
          <w:highlight w:val="none"/>
          <w:u w:val="single"/>
        </w:rPr>
        <w:t>、盐城市政府采购事前信用承诺书</w:t>
      </w:r>
    </w:p>
    <w:p w14:paraId="0C485C39">
      <w:pPr>
        <w:pStyle w:val="81"/>
        <w:rPr>
          <w:color w:val="auto"/>
          <w:highlight w:val="none"/>
        </w:rPr>
      </w:pPr>
    </w:p>
    <w:p w14:paraId="698F08C2">
      <w:pPr>
        <w:spacing w:line="440" w:lineRule="exact"/>
        <w:ind w:firstLine="480"/>
        <w:rPr>
          <w:rFonts w:hint="eastAsia" w:ascii="宋体" w:hAnsi="宋体"/>
          <w:color w:val="auto"/>
          <w:sz w:val="24"/>
          <w:szCs w:val="21"/>
          <w:highlight w:val="none"/>
        </w:rPr>
      </w:pPr>
    </w:p>
    <w:p w14:paraId="5190D114">
      <w:pPr>
        <w:spacing w:line="440" w:lineRule="exact"/>
        <w:ind w:firstLine="480"/>
        <w:rPr>
          <w:rFonts w:hint="eastAsia" w:ascii="宋体" w:hAnsi="宋体"/>
          <w:color w:val="auto"/>
          <w:sz w:val="24"/>
          <w:szCs w:val="21"/>
          <w:highlight w:val="none"/>
        </w:rPr>
      </w:pPr>
    </w:p>
    <w:p w14:paraId="0BDEF30C">
      <w:pPr>
        <w:pStyle w:val="50"/>
        <w:ind w:left="0" w:firstLine="0"/>
        <w:rPr>
          <w:rFonts w:hint="eastAsia"/>
          <w:color w:val="auto"/>
          <w:sz w:val="24"/>
          <w:szCs w:val="21"/>
          <w:highlight w:val="none"/>
        </w:rPr>
      </w:pPr>
    </w:p>
    <w:p w14:paraId="374BE0C3">
      <w:pPr>
        <w:rPr>
          <w:color w:val="auto"/>
          <w:highlight w:val="none"/>
        </w:rPr>
      </w:pPr>
    </w:p>
    <w:p w14:paraId="2FB7AB13">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p>
    <w:p w14:paraId="79CE1A8C">
      <w:pPr>
        <w:spacing w:line="360" w:lineRule="auto"/>
        <w:jc w:val="center"/>
        <w:rPr>
          <w:rFonts w:hint="eastAsia" w:ascii="宋体" w:hAnsi="宋体" w:cs="宋体"/>
          <w:b/>
          <w:color w:val="auto"/>
          <w:sz w:val="32"/>
          <w:szCs w:val="32"/>
          <w:highlight w:val="none"/>
        </w:rPr>
      </w:pPr>
    </w:p>
    <w:p w14:paraId="4B664F4A">
      <w:pPr>
        <w:spacing w:line="360" w:lineRule="auto"/>
        <w:jc w:val="center"/>
        <w:rPr>
          <w:rFonts w:hint="eastAsia" w:hAnsi="宋体" w:eastAsia="宋体"/>
          <w:b/>
          <w:bCs/>
          <w:lang w:val="zh-CN" w:eastAsia="zh-CN"/>
        </w:rPr>
      </w:pPr>
      <w:r>
        <w:rPr>
          <w:rFonts w:hint="eastAsia" w:ascii="宋体" w:hAnsi="宋体" w:cs="宋体"/>
          <w:b/>
          <w:color w:val="auto"/>
          <w:sz w:val="32"/>
          <w:szCs w:val="32"/>
          <w:highlight w:val="none"/>
        </w:rPr>
        <w:t>一、</w:t>
      </w:r>
      <w:r>
        <w:rPr>
          <w:rFonts w:hint="eastAsia" w:ascii="宋体" w:hAnsi="宋体" w:cs="宋体"/>
          <w:b/>
          <w:color w:val="auto"/>
          <w:sz w:val="30"/>
          <w:szCs w:val="30"/>
          <w:highlight w:val="none"/>
        </w:rPr>
        <w:t>法人或者其他组织的营业执照等证明文件，自然人的身份证明</w:t>
      </w:r>
      <w:r>
        <w:rPr>
          <w:rFonts w:hint="eastAsia" w:ascii="宋体" w:hAnsi="宋体" w:cs="宋体"/>
          <w:b/>
          <w:color w:val="auto"/>
          <w:sz w:val="30"/>
          <w:szCs w:val="30"/>
          <w:highlight w:val="none"/>
          <w:lang w:eastAsia="zh-CN"/>
        </w:rPr>
        <w:t>；</w:t>
      </w:r>
    </w:p>
    <w:p w14:paraId="207333F0">
      <w:pPr>
        <w:spacing w:line="480" w:lineRule="exact"/>
        <w:ind w:firstLine="632"/>
        <w:rPr>
          <w:rFonts w:hAnsi="宋体" w:eastAsia="宋体"/>
          <w:b/>
          <w:bCs/>
          <w:lang w:val="zh-CN"/>
        </w:rPr>
      </w:pPr>
    </w:p>
    <w:p w14:paraId="305B16D6">
      <w:pPr>
        <w:spacing w:line="480" w:lineRule="exact"/>
        <w:ind w:firstLine="632"/>
        <w:rPr>
          <w:rFonts w:hAnsi="宋体" w:eastAsia="宋体"/>
          <w:b/>
          <w:bCs/>
          <w:lang w:val="zh-CN"/>
        </w:rPr>
      </w:pPr>
    </w:p>
    <w:p w14:paraId="4801E9E7">
      <w:pPr>
        <w:spacing w:line="480" w:lineRule="exact"/>
        <w:ind w:firstLine="632"/>
        <w:rPr>
          <w:rFonts w:hAnsi="宋体" w:eastAsia="宋体"/>
          <w:b/>
          <w:bCs/>
          <w:lang w:val="zh-CN"/>
        </w:rPr>
      </w:pPr>
    </w:p>
    <w:p w14:paraId="68E23B48">
      <w:pPr>
        <w:rPr>
          <w:lang w:val="zh-CN"/>
        </w:rPr>
      </w:pPr>
    </w:p>
    <w:p w14:paraId="7D47C1E8">
      <w:pPr>
        <w:spacing w:line="360" w:lineRule="auto"/>
        <w:ind w:firstLine="281"/>
        <w:rPr>
          <w:rFonts w:ascii="宋体" w:hAnsi="宋体" w:cs="宋体"/>
          <w:b/>
          <w:iCs/>
          <w:sz w:val="28"/>
          <w:szCs w:val="36"/>
        </w:rPr>
      </w:pPr>
      <w:r>
        <w:rPr>
          <w:rFonts w:hint="eastAsia" w:ascii="宋体" w:hAnsi="宋体" w:cs="宋体"/>
          <w:b/>
          <w:iCs/>
          <w:sz w:val="28"/>
          <w:szCs w:val="36"/>
          <w:lang w:val="zh-CN"/>
        </w:rPr>
        <w:t>附：法定代表人身份证扫描件</w:t>
      </w:r>
    </w:p>
    <w:tbl>
      <w:tblPr>
        <w:tblStyle w:val="52"/>
        <w:tblW w:w="0" w:type="auto"/>
        <w:tblInd w:w="8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111"/>
        <w:gridCol w:w="4252"/>
      </w:tblGrid>
      <w:tr w14:paraId="7F89E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05" w:hRule="atLeast"/>
        </w:trPr>
        <w:tc>
          <w:tcPr>
            <w:tcW w:w="4111" w:type="dxa"/>
            <w:noWrap/>
          </w:tcPr>
          <w:p w14:paraId="030066CC">
            <w:pPr>
              <w:spacing w:line="400" w:lineRule="exact"/>
              <w:jc w:val="center"/>
              <w:rPr>
                <w:rFonts w:hAnsi="宋体" w:eastAsia="宋体" w:cs="宋体"/>
                <w:b/>
              </w:rPr>
            </w:pPr>
          </w:p>
          <w:p w14:paraId="62CFEBC5">
            <w:pPr>
              <w:spacing w:line="400" w:lineRule="exact"/>
              <w:jc w:val="center"/>
              <w:rPr>
                <w:rFonts w:hAnsi="宋体" w:eastAsia="宋体" w:cs="宋体"/>
                <w:b/>
              </w:rPr>
            </w:pPr>
          </w:p>
          <w:p w14:paraId="20493609">
            <w:pPr>
              <w:jc w:val="center"/>
              <w:rPr>
                <w:rFonts w:hAnsi="宋体" w:eastAsia="宋体" w:cs="黑体"/>
                <w:b/>
                <w:szCs w:val="28"/>
              </w:rPr>
            </w:pPr>
            <w:r>
              <w:rPr>
                <w:rFonts w:hint="eastAsia" w:ascii="宋体" w:hAnsi="宋体" w:cs="宋体"/>
                <w:b/>
                <w:iCs/>
                <w:sz w:val="28"/>
                <w:szCs w:val="36"/>
                <w:lang w:val="zh-CN"/>
              </w:rPr>
              <w:t>正面</w:t>
            </w:r>
          </w:p>
        </w:tc>
        <w:tc>
          <w:tcPr>
            <w:tcW w:w="4252" w:type="dxa"/>
            <w:noWrap/>
          </w:tcPr>
          <w:p w14:paraId="71D6ECAF">
            <w:pPr>
              <w:spacing w:line="400" w:lineRule="exact"/>
              <w:jc w:val="center"/>
              <w:rPr>
                <w:rFonts w:hAnsi="宋体" w:eastAsia="宋体" w:cs="宋体"/>
                <w:b/>
              </w:rPr>
            </w:pPr>
          </w:p>
          <w:p w14:paraId="0F134C26">
            <w:pPr>
              <w:spacing w:line="400" w:lineRule="exact"/>
              <w:jc w:val="center"/>
              <w:rPr>
                <w:rFonts w:hAnsi="宋体" w:eastAsia="宋体" w:cs="宋体"/>
                <w:b/>
              </w:rPr>
            </w:pPr>
          </w:p>
          <w:p w14:paraId="5A686E9D">
            <w:pPr>
              <w:jc w:val="center"/>
              <w:rPr>
                <w:rFonts w:hAnsi="宋体" w:eastAsia="宋体" w:cs="黑体"/>
                <w:b/>
                <w:szCs w:val="28"/>
              </w:rPr>
            </w:pPr>
            <w:r>
              <w:rPr>
                <w:rFonts w:hint="eastAsia" w:ascii="宋体" w:hAnsi="宋体" w:cs="宋体"/>
                <w:b/>
                <w:iCs/>
                <w:sz w:val="28"/>
                <w:szCs w:val="36"/>
                <w:lang w:val="zh-CN"/>
              </w:rPr>
              <w:t>反面</w:t>
            </w:r>
          </w:p>
        </w:tc>
      </w:tr>
    </w:tbl>
    <w:p w14:paraId="2FF745D4">
      <w:pPr>
        <w:pStyle w:val="50"/>
        <w:rPr>
          <w:rFonts w:hint="eastAsia" w:cs="宋体"/>
          <w:bCs/>
          <w:iCs/>
          <w:color w:val="auto"/>
          <w:sz w:val="28"/>
          <w:szCs w:val="21"/>
          <w:highlight w:val="none"/>
        </w:rPr>
      </w:pPr>
    </w:p>
    <w:p w14:paraId="3619479E">
      <w:pPr>
        <w:pStyle w:val="85"/>
        <w:rPr>
          <w:rFonts w:hint="eastAsia" w:ascii="宋体" w:hAnsi="宋体" w:eastAsia="宋体"/>
          <w:bCs/>
          <w:iCs/>
          <w:color w:val="auto"/>
          <w:sz w:val="28"/>
          <w:szCs w:val="21"/>
          <w:highlight w:val="none"/>
        </w:rPr>
      </w:pPr>
    </w:p>
    <w:p w14:paraId="1340388C">
      <w:pPr>
        <w:pStyle w:val="85"/>
        <w:rPr>
          <w:rFonts w:hint="eastAsia" w:ascii="宋体" w:hAnsi="宋体" w:eastAsia="宋体"/>
          <w:bCs/>
          <w:iCs/>
          <w:color w:val="auto"/>
          <w:sz w:val="28"/>
          <w:szCs w:val="21"/>
          <w:highlight w:val="none"/>
        </w:rPr>
      </w:pPr>
    </w:p>
    <w:p w14:paraId="1E6CBFDA">
      <w:pPr>
        <w:spacing w:line="360" w:lineRule="auto"/>
        <w:jc w:val="cente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二、</w:t>
      </w:r>
      <w:r>
        <w:rPr>
          <w:rFonts w:hint="eastAsia" w:ascii="宋体" w:hAnsi="宋体" w:cs="宋体"/>
          <w:b/>
          <w:color w:val="auto"/>
          <w:sz w:val="32"/>
          <w:szCs w:val="32"/>
          <w:highlight w:val="none"/>
          <w:lang w:eastAsia="zh-CN"/>
        </w:rPr>
        <w:t>上一年度（2024年度）</w:t>
      </w:r>
      <w:r>
        <w:rPr>
          <w:rFonts w:hint="eastAsia" w:ascii="宋体" w:hAnsi="宋体" w:cs="宋体"/>
          <w:b/>
          <w:color w:val="auto"/>
          <w:sz w:val="32"/>
          <w:szCs w:val="32"/>
          <w:highlight w:val="none"/>
        </w:rPr>
        <w:t>的财务状况</w:t>
      </w:r>
      <w:r>
        <w:rPr>
          <w:rFonts w:hint="eastAsia" w:ascii="宋体" w:hAnsi="宋体" w:cs="宋体"/>
          <w:b/>
          <w:color w:val="auto"/>
          <w:sz w:val="32"/>
          <w:szCs w:val="32"/>
          <w:highlight w:val="none"/>
          <w:lang w:val="en-US" w:eastAsia="zh-CN"/>
        </w:rPr>
        <w:t>报告</w:t>
      </w:r>
    </w:p>
    <w:p w14:paraId="68D1622D">
      <w:pPr>
        <w:ind w:firstLine="640"/>
        <w:rPr>
          <w:rFonts w:hint="eastAsia" w:ascii="宋体" w:hAnsi="宋体" w:cs="宋体"/>
          <w:iCs/>
          <w:color w:val="auto"/>
          <w:sz w:val="32"/>
          <w:szCs w:val="32"/>
          <w:highlight w:val="none"/>
        </w:rPr>
      </w:pPr>
      <w:r>
        <w:rPr>
          <w:rFonts w:hint="eastAsia" w:ascii="宋体" w:hAnsi="宋体" w:cs="宋体"/>
          <w:iCs/>
          <w:color w:val="auto"/>
          <w:sz w:val="32"/>
          <w:szCs w:val="32"/>
          <w:highlight w:val="none"/>
        </w:rPr>
        <w:t>财务报告至少应包括资产负债表、利润表</w:t>
      </w:r>
      <w:r>
        <w:rPr>
          <w:rFonts w:hint="eastAsia" w:ascii="宋体" w:hAnsi="宋体" w:cs="宋体"/>
          <w:iCs/>
          <w:color w:val="auto"/>
          <w:sz w:val="32"/>
          <w:szCs w:val="32"/>
          <w:highlight w:val="none"/>
          <w:lang w:eastAsia="zh-CN"/>
        </w:rPr>
        <w:t>，</w:t>
      </w:r>
      <w:r>
        <w:rPr>
          <w:rFonts w:hint="eastAsia" w:ascii="宋体" w:hAnsi="宋体" w:cs="宋体"/>
          <w:iCs/>
          <w:color w:val="auto"/>
          <w:sz w:val="32"/>
          <w:szCs w:val="32"/>
          <w:highlight w:val="none"/>
        </w:rPr>
        <w:t>距投标截止之日止，成立不满一年的</w:t>
      </w:r>
      <w:r>
        <w:rPr>
          <w:rFonts w:hint="eastAsia" w:ascii="宋体" w:hAnsi="宋体" w:cs="宋体"/>
          <w:iCs/>
          <w:color w:val="auto"/>
          <w:sz w:val="32"/>
          <w:szCs w:val="32"/>
          <w:highlight w:val="none"/>
          <w:lang w:eastAsia="zh-CN"/>
        </w:rPr>
        <w:t>投标人</w:t>
      </w:r>
      <w:r>
        <w:rPr>
          <w:rFonts w:hint="eastAsia" w:ascii="宋体" w:hAnsi="宋体" w:cs="宋体"/>
          <w:iCs/>
          <w:color w:val="auto"/>
          <w:sz w:val="32"/>
          <w:szCs w:val="32"/>
          <w:highlight w:val="none"/>
        </w:rPr>
        <w:t>无需提供；</w:t>
      </w:r>
    </w:p>
    <w:p w14:paraId="7857CB34">
      <w:pPr>
        <w:rPr>
          <w:rFonts w:hint="eastAsia" w:ascii="宋体" w:hAnsi="宋体" w:cs="宋体"/>
          <w:iCs/>
          <w:color w:val="auto"/>
          <w:sz w:val="32"/>
          <w:szCs w:val="32"/>
          <w:highlight w:val="none"/>
        </w:rPr>
      </w:pPr>
    </w:p>
    <w:p w14:paraId="6A4F07EC">
      <w:pPr>
        <w:spacing w:line="360" w:lineRule="auto"/>
        <w:rPr>
          <w:rFonts w:hint="eastAsia" w:ascii="宋体" w:hAnsi="宋体" w:cs="宋体"/>
          <w:b/>
          <w:color w:val="auto"/>
          <w:sz w:val="32"/>
          <w:szCs w:val="32"/>
          <w:highlight w:val="none"/>
        </w:rPr>
      </w:pPr>
    </w:p>
    <w:p w14:paraId="78418A6D">
      <w:pPr>
        <w:pStyle w:val="81"/>
        <w:rPr>
          <w:color w:val="auto"/>
          <w:highlight w:val="none"/>
        </w:rPr>
      </w:pPr>
    </w:p>
    <w:p w14:paraId="71903F01">
      <w:pPr>
        <w:spacing w:line="360" w:lineRule="auto"/>
        <w:jc w:val="center"/>
        <w:rPr>
          <w:rFonts w:hint="eastAsia" w:ascii="宋体" w:hAnsi="宋体" w:cs="宋体"/>
          <w:b/>
          <w:color w:val="auto"/>
          <w:sz w:val="32"/>
          <w:szCs w:val="32"/>
          <w:highlight w:val="none"/>
        </w:rPr>
      </w:pPr>
    </w:p>
    <w:p w14:paraId="4A7F1F74">
      <w:pPr>
        <w:spacing w:line="360" w:lineRule="auto"/>
        <w:jc w:val="center"/>
        <w:rPr>
          <w:rFonts w:hint="eastAsia" w:ascii="宋体" w:hAnsi="宋体" w:cs="宋体"/>
          <w:b/>
          <w:color w:val="auto"/>
          <w:sz w:val="32"/>
          <w:szCs w:val="32"/>
          <w:highlight w:val="none"/>
        </w:rPr>
      </w:pPr>
    </w:p>
    <w:p w14:paraId="34608B55">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p>
    <w:p w14:paraId="46B36A8E">
      <w:pPr>
        <w:spacing w:line="360"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三、具备履行合同所必需的设备和专业技术能力的书面声明</w:t>
      </w:r>
    </w:p>
    <w:p w14:paraId="2FA35218">
      <w:pPr>
        <w:spacing w:line="360" w:lineRule="auto"/>
        <w:ind w:firstLine="480"/>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声明</w:t>
      </w:r>
    </w:p>
    <w:p w14:paraId="79F61761">
      <w:pPr>
        <w:spacing w:line="360" w:lineRule="auto"/>
        <w:ind w:firstLine="480"/>
        <w:rPr>
          <w:rFonts w:hint="eastAsia" w:ascii="宋体" w:hAnsi="宋体" w:cs="宋体"/>
          <w:color w:val="auto"/>
          <w:sz w:val="28"/>
          <w:szCs w:val="24"/>
          <w:highlight w:val="none"/>
        </w:rPr>
      </w:pPr>
      <w:r>
        <w:rPr>
          <w:rFonts w:hint="eastAsia" w:ascii="宋体" w:hAnsi="宋体" w:cs="宋体"/>
          <w:bCs/>
          <w:iCs/>
          <w:color w:val="auto"/>
          <w:sz w:val="28"/>
          <w:szCs w:val="21"/>
          <w:highlight w:val="none"/>
        </w:rPr>
        <w:t>我单位郑重声明：我单位具备履行本项采购合同所必需的设备和专业技术能力，为履行本项采购合同我公司具备如下主要设备和主要专业技术能力：</w:t>
      </w:r>
    </w:p>
    <w:p w14:paraId="4A3C991F">
      <w:pPr>
        <w:spacing w:line="360" w:lineRule="auto"/>
        <w:ind w:firstLine="480"/>
        <w:rPr>
          <w:rFonts w:hint="eastAsia" w:ascii="宋体" w:hAnsi="宋体" w:cs="宋体"/>
          <w:color w:val="auto"/>
          <w:sz w:val="28"/>
          <w:szCs w:val="24"/>
          <w:highlight w:val="none"/>
        </w:rPr>
      </w:pPr>
      <w:r>
        <w:rPr>
          <w:rFonts w:hint="eastAsia" w:ascii="宋体" w:hAnsi="宋体" w:cs="宋体"/>
          <w:color w:val="auto"/>
          <w:sz w:val="28"/>
          <w:szCs w:val="24"/>
          <w:highlight w:val="none"/>
        </w:rPr>
        <w:t>主要设备有：</w:t>
      </w:r>
      <w:r>
        <w:rPr>
          <w:rFonts w:hint="eastAsia" w:ascii="宋体" w:hAnsi="宋体" w:cs="宋体"/>
          <w:color w:val="auto"/>
          <w:sz w:val="28"/>
          <w:szCs w:val="24"/>
          <w:highlight w:val="none"/>
          <w:u w:val="single"/>
        </w:rPr>
        <w:t xml:space="preserve">           </w:t>
      </w:r>
      <w:r>
        <w:rPr>
          <w:rFonts w:hint="eastAsia" w:ascii="宋体" w:hAnsi="宋体" w:cs="宋体"/>
          <w:color w:val="auto"/>
          <w:sz w:val="28"/>
          <w:szCs w:val="24"/>
          <w:highlight w:val="none"/>
        </w:rPr>
        <w:t>。</w:t>
      </w:r>
    </w:p>
    <w:p w14:paraId="4AB8F887">
      <w:pPr>
        <w:spacing w:line="360" w:lineRule="auto"/>
        <w:ind w:firstLine="480"/>
        <w:rPr>
          <w:rFonts w:hint="eastAsia" w:ascii="宋体" w:hAnsi="宋体" w:cs="宋体"/>
          <w:color w:val="auto"/>
          <w:sz w:val="28"/>
          <w:szCs w:val="24"/>
          <w:highlight w:val="none"/>
        </w:rPr>
      </w:pPr>
      <w:r>
        <w:rPr>
          <w:rFonts w:hint="eastAsia" w:ascii="宋体" w:hAnsi="宋体" w:cs="宋体"/>
          <w:color w:val="auto"/>
          <w:sz w:val="28"/>
          <w:szCs w:val="24"/>
          <w:highlight w:val="none"/>
        </w:rPr>
        <w:t>主要专业技术能力有：</w:t>
      </w:r>
      <w:r>
        <w:rPr>
          <w:rFonts w:hint="eastAsia" w:ascii="宋体" w:hAnsi="宋体" w:cs="宋体"/>
          <w:color w:val="auto"/>
          <w:sz w:val="28"/>
          <w:szCs w:val="24"/>
          <w:highlight w:val="none"/>
          <w:u w:val="single"/>
        </w:rPr>
        <w:t xml:space="preserve">           </w:t>
      </w:r>
      <w:r>
        <w:rPr>
          <w:rFonts w:hint="eastAsia" w:ascii="宋体" w:hAnsi="宋体" w:cs="宋体"/>
          <w:color w:val="auto"/>
          <w:sz w:val="28"/>
          <w:szCs w:val="24"/>
          <w:highlight w:val="none"/>
        </w:rPr>
        <w:t>。</w:t>
      </w:r>
    </w:p>
    <w:p w14:paraId="422172D7">
      <w:pPr>
        <w:spacing w:line="360" w:lineRule="auto"/>
        <w:jc w:val="center"/>
        <w:rPr>
          <w:rFonts w:hint="eastAsia" w:ascii="宋体" w:hAnsi="宋体"/>
          <w:color w:val="auto"/>
          <w:sz w:val="24"/>
          <w:szCs w:val="24"/>
          <w:highlight w:val="none"/>
        </w:rPr>
      </w:pPr>
      <w:r>
        <w:rPr>
          <w:rFonts w:hint="eastAsia" w:ascii="宋体" w:hAnsi="宋体"/>
          <w:color w:val="auto"/>
          <w:sz w:val="24"/>
          <w:szCs w:val="24"/>
          <w:highlight w:val="none"/>
        </w:rPr>
        <w:t xml:space="preserve">                               </w:t>
      </w:r>
    </w:p>
    <w:p w14:paraId="7E2B89A8">
      <w:pPr>
        <w:spacing w:line="360" w:lineRule="auto"/>
        <w:jc w:val="center"/>
        <w:rPr>
          <w:rFonts w:hint="eastAsia" w:ascii="宋体" w:hAnsi="宋体"/>
          <w:color w:val="auto"/>
          <w:sz w:val="28"/>
          <w:szCs w:val="24"/>
          <w:highlight w:val="none"/>
        </w:rPr>
      </w:pPr>
      <w:r>
        <w:rPr>
          <w:rFonts w:hint="eastAsia" w:ascii="宋体" w:hAnsi="宋体"/>
          <w:color w:val="auto"/>
          <w:sz w:val="24"/>
          <w:szCs w:val="24"/>
          <w:highlight w:val="none"/>
        </w:rPr>
        <w:t xml:space="preserve">          </w:t>
      </w:r>
      <w:r>
        <w:rPr>
          <w:rFonts w:hint="eastAsia" w:ascii="宋体" w:hAnsi="宋体"/>
          <w:color w:val="auto"/>
          <w:sz w:val="28"/>
          <w:szCs w:val="24"/>
          <w:highlight w:val="none"/>
        </w:rPr>
        <w:t xml:space="preserve"> </w:t>
      </w:r>
    </w:p>
    <w:p w14:paraId="0E0B72E0">
      <w:pPr>
        <w:spacing w:line="360" w:lineRule="auto"/>
        <w:jc w:val="right"/>
        <w:rPr>
          <w:rFonts w:hint="eastAsia" w:ascii="宋体" w:hAnsi="宋体"/>
          <w:color w:val="auto"/>
          <w:sz w:val="28"/>
          <w:szCs w:val="24"/>
          <w:highlight w:val="none"/>
          <w:u w:val="single"/>
        </w:rPr>
      </w:pPr>
      <w:r>
        <w:rPr>
          <w:rFonts w:hint="eastAsia" w:ascii="宋体" w:hAnsi="宋体"/>
          <w:color w:val="auto"/>
          <w:sz w:val="28"/>
          <w:szCs w:val="24"/>
          <w:highlight w:val="none"/>
        </w:rPr>
        <w:t>投标人全称：</w:t>
      </w:r>
      <w:r>
        <w:rPr>
          <w:rFonts w:hint="eastAsia" w:ascii="宋体" w:hAnsi="宋体"/>
          <w:color w:val="auto"/>
          <w:sz w:val="28"/>
          <w:szCs w:val="24"/>
          <w:highlight w:val="none"/>
          <w:u w:val="single"/>
        </w:rPr>
        <w:t xml:space="preserve">  （加盖CA电子签章或盖公章 ）</w:t>
      </w:r>
    </w:p>
    <w:p w14:paraId="2B4FFFEA">
      <w:pPr>
        <w:spacing w:line="360" w:lineRule="auto"/>
        <w:rPr>
          <w:color w:val="auto"/>
          <w:sz w:val="28"/>
          <w:szCs w:val="24"/>
          <w:highlight w:val="none"/>
          <w:u w:val="single"/>
        </w:rPr>
      </w:pPr>
      <w:r>
        <w:rPr>
          <w:rFonts w:hint="eastAsia"/>
          <w:color w:val="auto"/>
          <w:sz w:val="28"/>
          <w:szCs w:val="24"/>
          <w:highlight w:val="none"/>
        </w:rPr>
        <w:t xml:space="preserve">                                      日期：</w:t>
      </w:r>
      <w:r>
        <w:rPr>
          <w:rFonts w:hint="eastAsia"/>
          <w:color w:val="auto"/>
          <w:sz w:val="28"/>
          <w:szCs w:val="24"/>
          <w:highlight w:val="none"/>
          <w:u w:val="single"/>
        </w:rPr>
        <w:t xml:space="preserve">             </w:t>
      </w:r>
    </w:p>
    <w:p w14:paraId="7F427646">
      <w:pPr>
        <w:pStyle w:val="81"/>
        <w:rPr>
          <w:color w:val="auto"/>
          <w:sz w:val="28"/>
          <w:highlight w:val="none"/>
          <w:u w:val="single"/>
        </w:rPr>
      </w:pPr>
    </w:p>
    <w:p w14:paraId="65E6BEEA">
      <w:pPr>
        <w:pStyle w:val="81"/>
        <w:rPr>
          <w:color w:val="auto"/>
          <w:sz w:val="28"/>
          <w:szCs w:val="28"/>
          <w:highlight w:val="none"/>
          <w:u w:val="single"/>
        </w:rPr>
      </w:pPr>
    </w:p>
    <w:p w14:paraId="371E561B">
      <w:pPr>
        <w:pStyle w:val="81"/>
        <w:rPr>
          <w:color w:val="auto"/>
          <w:sz w:val="28"/>
          <w:szCs w:val="28"/>
          <w:highlight w:val="none"/>
          <w:u w:val="single"/>
        </w:rPr>
      </w:pPr>
    </w:p>
    <w:p w14:paraId="273957F5">
      <w:pPr>
        <w:pStyle w:val="81"/>
        <w:rPr>
          <w:color w:val="auto"/>
          <w:sz w:val="28"/>
          <w:szCs w:val="28"/>
          <w:highlight w:val="none"/>
          <w:u w:val="single"/>
        </w:rPr>
      </w:pPr>
    </w:p>
    <w:p w14:paraId="4551B90B">
      <w:pPr>
        <w:pStyle w:val="81"/>
        <w:rPr>
          <w:color w:val="auto"/>
          <w:sz w:val="28"/>
          <w:szCs w:val="28"/>
          <w:highlight w:val="none"/>
          <w:u w:val="single"/>
        </w:rPr>
      </w:pPr>
    </w:p>
    <w:p w14:paraId="31BCE58E">
      <w:pPr>
        <w:pStyle w:val="81"/>
        <w:rPr>
          <w:color w:val="auto"/>
          <w:sz w:val="28"/>
          <w:szCs w:val="28"/>
          <w:highlight w:val="none"/>
          <w:u w:val="single"/>
        </w:rPr>
      </w:pPr>
    </w:p>
    <w:p w14:paraId="53608BF4">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p>
    <w:p w14:paraId="5CFF6681">
      <w:pPr>
        <w:spacing w:line="360" w:lineRule="auto"/>
        <w:jc w:val="center"/>
        <w:rPr>
          <w:rFonts w:hint="eastAsia" w:ascii="宋体" w:hAnsi="宋体" w:cs="宋体"/>
          <w:b/>
          <w:iCs/>
          <w:color w:val="auto"/>
          <w:sz w:val="32"/>
          <w:szCs w:val="32"/>
          <w:highlight w:val="none"/>
        </w:rPr>
      </w:pPr>
      <w:r>
        <w:rPr>
          <w:rFonts w:hint="eastAsia" w:ascii="宋体" w:hAnsi="宋体" w:cs="宋体"/>
          <w:b/>
          <w:color w:val="auto"/>
          <w:sz w:val="32"/>
          <w:szCs w:val="32"/>
          <w:highlight w:val="none"/>
        </w:rPr>
        <w:t>四、依法缴纳税收和社会保障资金的相关材料</w:t>
      </w:r>
    </w:p>
    <w:p w14:paraId="2BB5A4A5">
      <w:pPr>
        <w:spacing w:line="360" w:lineRule="auto"/>
        <w:ind w:firstLine="480"/>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提供提交投标文件截止时间前一年内至少一个月依法缴纳税收及缴纳社会保障资金的证明材料。投标人依法享受缓缴、免缴税收、社会保障资金的提供证明材料。</w:t>
      </w:r>
    </w:p>
    <w:p w14:paraId="54498F68">
      <w:pPr>
        <w:spacing w:line="360" w:lineRule="auto"/>
        <w:ind w:firstLine="1968"/>
        <w:rPr>
          <w:rFonts w:hint="eastAsia" w:ascii="宋体" w:hAnsi="宋体" w:cs="宋体"/>
          <w:b/>
          <w:iCs/>
          <w:color w:val="auto"/>
          <w:sz w:val="28"/>
          <w:szCs w:val="36"/>
          <w:highlight w:val="none"/>
        </w:rPr>
      </w:pPr>
    </w:p>
    <w:p w14:paraId="33F1EAD3">
      <w:pPr>
        <w:spacing w:line="360" w:lineRule="auto"/>
        <w:ind w:firstLine="480"/>
        <w:rPr>
          <w:rFonts w:hint="eastAsia" w:ascii="宋体" w:hAnsi="宋体" w:cs="宋体"/>
          <w:color w:val="auto"/>
          <w:sz w:val="24"/>
          <w:szCs w:val="24"/>
          <w:highlight w:val="none"/>
        </w:rPr>
      </w:pPr>
    </w:p>
    <w:p w14:paraId="06C6B5E1">
      <w:pPr>
        <w:spacing w:line="360" w:lineRule="auto"/>
        <w:ind w:firstLine="480"/>
        <w:rPr>
          <w:rFonts w:hint="eastAsia" w:ascii="宋体" w:hAnsi="宋体" w:cs="宋体"/>
          <w:color w:val="auto"/>
          <w:sz w:val="24"/>
          <w:szCs w:val="24"/>
          <w:highlight w:val="none"/>
        </w:rPr>
      </w:pPr>
    </w:p>
    <w:p w14:paraId="6EB1CC2D">
      <w:pPr>
        <w:spacing w:line="360" w:lineRule="auto"/>
        <w:ind w:firstLine="480"/>
        <w:rPr>
          <w:rFonts w:hint="eastAsia" w:ascii="宋体" w:hAnsi="宋体" w:cs="宋体"/>
          <w:color w:val="auto"/>
          <w:sz w:val="24"/>
          <w:szCs w:val="24"/>
          <w:highlight w:val="none"/>
        </w:rPr>
      </w:pPr>
    </w:p>
    <w:p w14:paraId="67BA9486">
      <w:pPr>
        <w:spacing w:line="360"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五、参加政府采购活动前 3 年内在经营活动中没有重大违法记录的书面声明</w:t>
      </w:r>
    </w:p>
    <w:p w14:paraId="790C3585">
      <w:pPr>
        <w:spacing w:line="360" w:lineRule="auto"/>
        <w:rPr>
          <w:rFonts w:hint="eastAsia" w:ascii="宋体" w:hAnsi="宋体" w:cs="宋体"/>
          <w:b/>
          <w:bCs/>
          <w:iCs/>
          <w:color w:val="auto"/>
          <w:sz w:val="44"/>
          <w:szCs w:val="44"/>
          <w:highlight w:val="none"/>
        </w:rPr>
      </w:pPr>
      <w:r>
        <w:rPr>
          <w:rFonts w:hint="eastAsia" w:ascii="宋体" w:hAnsi="宋体" w:cs="宋体"/>
          <w:b/>
          <w:bCs/>
          <w:iCs/>
          <w:color w:val="auto"/>
          <w:sz w:val="44"/>
          <w:szCs w:val="44"/>
          <w:highlight w:val="none"/>
        </w:rPr>
        <w:t xml:space="preserve">                 </w:t>
      </w:r>
      <w:r>
        <w:rPr>
          <w:rFonts w:hint="eastAsia" w:ascii="宋体" w:hAnsi="宋体" w:cs="宋体"/>
          <w:b/>
          <w:color w:val="auto"/>
          <w:sz w:val="32"/>
          <w:szCs w:val="32"/>
          <w:highlight w:val="none"/>
        </w:rPr>
        <w:t>声  明</w:t>
      </w:r>
    </w:p>
    <w:p w14:paraId="1376F8C3">
      <w:pPr>
        <w:spacing w:line="360" w:lineRule="auto"/>
        <w:ind w:firstLine="480"/>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我单位郑重声明：参加本次政府采购活动前 3 年内，我单位在经营活动中没有因违法经营受到刑事处罚或者责令停产停业、吊销许可证或者执照、较大数额罚款等行政处罚。</w:t>
      </w:r>
    </w:p>
    <w:p w14:paraId="24953DAB">
      <w:pPr>
        <w:spacing w:line="360" w:lineRule="auto"/>
        <w:ind w:firstLine="480"/>
        <w:rPr>
          <w:rFonts w:hint="eastAsia" w:ascii="宋体" w:hAnsi="宋体" w:cs="宋体"/>
          <w:bCs/>
          <w:iCs/>
          <w:color w:val="auto"/>
          <w:sz w:val="28"/>
          <w:szCs w:val="21"/>
          <w:highlight w:val="none"/>
        </w:rPr>
      </w:pPr>
    </w:p>
    <w:p w14:paraId="1F400D88">
      <w:pPr>
        <w:spacing w:line="360" w:lineRule="auto"/>
        <w:ind w:firstLine="480"/>
        <w:jc w:val="center"/>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 xml:space="preserve">                 </w:t>
      </w:r>
    </w:p>
    <w:p w14:paraId="6196332B">
      <w:pPr>
        <w:spacing w:line="360" w:lineRule="auto"/>
        <w:ind w:firstLine="480"/>
        <w:jc w:val="center"/>
        <w:rPr>
          <w:rFonts w:hint="eastAsia" w:ascii="宋体" w:hAnsi="宋体" w:cs="宋体"/>
          <w:b/>
          <w:iCs/>
          <w:color w:val="auto"/>
          <w:sz w:val="28"/>
          <w:szCs w:val="21"/>
          <w:highlight w:val="none"/>
        </w:rPr>
      </w:pPr>
      <w:r>
        <w:rPr>
          <w:rFonts w:hint="eastAsia" w:ascii="宋体" w:hAnsi="宋体" w:cs="宋体"/>
          <w:bCs/>
          <w:iCs/>
          <w:color w:val="auto"/>
          <w:sz w:val="28"/>
          <w:szCs w:val="21"/>
          <w:highlight w:val="none"/>
        </w:rPr>
        <w:t xml:space="preserve">                  企业名称：（加盖CA电子签章或盖公章 ）</w:t>
      </w:r>
    </w:p>
    <w:p w14:paraId="6EF180B1">
      <w:pPr>
        <w:spacing w:line="460" w:lineRule="exact"/>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 xml:space="preserve">                                      日  期：</w:t>
      </w:r>
    </w:p>
    <w:p w14:paraId="00E50EB6">
      <w:pPr>
        <w:rPr>
          <w:rFonts w:cs="黑体" w:asciiTheme="minorEastAsia" w:hAnsiTheme="minorEastAsia"/>
          <w:sz w:val="28"/>
          <w:szCs w:val="28"/>
        </w:rPr>
      </w:pPr>
      <w:r>
        <w:rPr>
          <w:rFonts w:hint="eastAsia" w:ascii="宋体" w:hAnsi="宋体" w:cs="宋体"/>
          <w:b/>
          <w:color w:val="auto"/>
          <w:sz w:val="32"/>
          <w:szCs w:val="32"/>
          <w:highlight w:val="none"/>
        </w:rPr>
        <w:br w:type="page" w:clear="all"/>
      </w:r>
      <w:bookmarkEnd w:id="181"/>
      <w:bookmarkEnd w:id="182"/>
      <w:bookmarkEnd w:id="183"/>
    </w:p>
    <w:p w14:paraId="01A36F75">
      <w:pPr>
        <w:pStyle w:val="45"/>
        <w:spacing w:beforeAutospacing="0" w:afterAutospacing="0"/>
        <w:jc w:val="center"/>
        <w:rPr>
          <w:rFonts w:ascii="宋体" w:hAnsi="宋体" w:eastAsia="宋体" w:cs="宋体"/>
          <w:b/>
          <w:bCs/>
          <w:i/>
          <w:iCs/>
          <w:sz w:val="28"/>
          <w:szCs w:val="28"/>
          <w:u w:val="single"/>
        </w:rPr>
      </w:pPr>
      <w:r>
        <w:rPr>
          <w:rFonts w:hint="eastAsia" w:ascii="宋体" w:hAnsi="宋体" w:eastAsia="宋体" w:cs="宋体"/>
          <w:b/>
          <w:bCs/>
          <w:i/>
          <w:iCs/>
          <w:sz w:val="28"/>
          <w:szCs w:val="28"/>
          <w:u w:val="single"/>
          <w:lang w:val="en-US" w:eastAsia="zh-CN"/>
        </w:rPr>
        <w:t>六</w:t>
      </w:r>
      <w:r>
        <w:rPr>
          <w:rFonts w:hint="eastAsia" w:ascii="宋体" w:hAnsi="宋体" w:eastAsia="宋体" w:cs="宋体"/>
          <w:b/>
          <w:bCs/>
          <w:i/>
          <w:iCs/>
          <w:sz w:val="28"/>
          <w:szCs w:val="28"/>
          <w:u w:val="single"/>
        </w:rPr>
        <w:t>、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61199808">
      <w:pPr>
        <w:pStyle w:val="45"/>
        <w:spacing w:beforeAutospacing="0" w:afterAutospacing="0"/>
        <w:jc w:val="center"/>
        <w:rPr>
          <w:rFonts w:ascii="宋体" w:hAnsi="宋体" w:eastAsia="宋体" w:cs="宋体"/>
          <w:b/>
          <w:bCs/>
          <w:i/>
          <w:iCs/>
          <w:sz w:val="28"/>
          <w:szCs w:val="28"/>
        </w:rPr>
      </w:pPr>
    </w:p>
    <w:p w14:paraId="5E99F4F2">
      <w:pPr>
        <w:pStyle w:val="45"/>
        <w:spacing w:beforeAutospacing="0" w:afterAutospacing="0"/>
        <w:jc w:val="center"/>
        <w:rPr>
          <w:rFonts w:ascii="宋体" w:hAnsi="宋体" w:eastAsia="宋体" w:cs="宋体"/>
          <w:b/>
          <w:bCs/>
          <w:i/>
          <w:iCs/>
          <w:sz w:val="28"/>
          <w:szCs w:val="28"/>
        </w:rPr>
      </w:pPr>
    </w:p>
    <w:p w14:paraId="6E3712CC">
      <w:pPr>
        <w:pStyle w:val="45"/>
        <w:spacing w:beforeAutospacing="0" w:afterAutospacing="0"/>
        <w:jc w:val="center"/>
        <w:rPr>
          <w:rFonts w:ascii="宋体" w:hAnsi="宋体" w:eastAsia="宋体" w:cs="宋体"/>
          <w:b/>
          <w:bCs/>
          <w:i/>
          <w:iCs/>
          <w:sz w:val="28"/>
          <w:szCs w:val="28"/>
        </w:rPr>
      </w:pPr>
    </w:p>
    <w:p w14:paraId="256AA7B4">
      <w:pPr>
        <w:pStyle w:val="45"/>
        <w:spacing w:beforeAutospacing="0" w:afterAutospacing="0"/>
        <w:jc w:val="center"/>
        <w:rPr>
          <w:rFonts w:ascii="黑体" w:hAnsi="黑体" w:eastAsia="黑体" w:cs="宋体"/>
          <w:iCs/>
          <w:sz w:val="36"/>
          <w:szCs w:val="32"/>
        </w:rPr>
      </w:pPr>
      <w:r>
        <w:rPr>
          <w:rFonts w:hint="eastAsia" w:ascii="宋体" w:hAnsi="宋体" w:eastAsia="宋体" w:cs="宋体"/>
          <w:b/>
          <w:bCs/>
          <w:i/>
          <w:iCs/>
          <w:sz w:val="28"/>
          <w:szCs w:val="28"/>
          <w:lang w:val="en-US" w:eastAsia="zh-CN"/>
        </w:rPr>
        <w:t>七</w:t>
      </w:r>
      <w:r>
        <w:rPr>
          <w:rFonts w:hint="eastAsia" w:ascii="宋体" w:hAnsi="宋体" w:eastAsia="宋体" w:cs="宋体"/>
          <w:b/>
          <w:bCs/>
          <w:i/>
          <w:iCs/>
          <w:sz w:val="28"/>
          <w:szCs w:val="28"/>
        </w:rPr>
        <w:t>、</w:t>
      </w:r>
      <w:r>
        <w:rPr>
          <w:rFonts w:hint="eastAsia" w:ascii="宋体" w:hAnsi="宋体" w:eastAsia="宋体" w:cs="宋体"/>
          <w:b/>
          <w:bCs/>
          <w:i/>
          <w:iCs/>
          <w:sz w:val="28"/>
          <w:szCs w:val="28"/>
          <w:u w:val="single"/>
        </w:rPr>
        <w:t>单位负责人为同一人或者存在直接控股、管理关系的不同投标人，不得参加同一合同项下的政府采购活动。（格式自拟）</w:t>
      </w:r>
    </w:p>
    <w:p w14:paraId="03203EF1">
      <w:pPr>
        <w:rPr>
          <w:rFonts w:hint="eastAsia" w:ascii="宋体" w:hAnsi="宋体" w:cs="宋体"/>
          <w:b/>
          <w:color w:val="auto"/>
          <w:sz w:val="32"/>
          <w:szCs w:val="32"/>
          <w:highlight w:val="none"/>
          <w:lang w:val="en-US" w:eastAsia="zh-CN"/>
        </w:rPr>
      </w:pPr>
    </w:p>
    <w:p w14:paraId="255752F5">
      <w:pPr>
        <w:rPr>
          <w:rFonts w:hint="eastAsia" w:ascii="宋体" w:hAnsi="宋体" w:cs="宋体"/>
          <w:b/>
          <w:color w:val="auto"/>
          <w:sz w:val="32"/>
          <w:szCs w:val="32"/>
          <w:highlight w:val="none"/>
          <w:lang w:val="en-US" w:eastAsia="zh-CN"/>
        </w:rPr>
      </w:pPr>
    </w:p>
    <w:p w14:paraId="1AB3BF7F">
      <w:pPr>
        <w:rPr>
          <w:rFonts w:hint="eastAsia" w:ascii="宋体" w:hAnsi="宋体" w:cs="宋体"/>
          <w:b/>
          <w:color w:val="auto"/>
          <w:sz w:val="32"/>
          <w:szCs w:val="32"/>
          <w:highlight w:val="none"/>
          <w:lang w:val="en-US" w:eastAsia="zh-CN"/>
        </w:rPr>
      </w:pPr>
    </w:p>
    <w:p w14:paraId="5AF3D821">
      <w:pPr>
        <w:jc w:val="center"/>
        <w:rPr>
          <w:rFonts w:hint="eastAsia" w:ascii="宋体" w:hAnsi="宋体" w:cs="宋体"/>
          <w:bCs/>
          <w:iCs/>
          <w:color w:val="auto"/>
          <w:sz w:val="28"/>
          <w:szCs w:val="21"/>
          <w:highlight w:val="none"/>
          <w:lang w:eastAsia="zh-CN"/>
        </w:rPr>
      </w:pPr>
      <w:r>
        <w:rPr>
          <w:rFonts w:hint="eastAsia" w:ascii="宋体" w:hAnsi="宋体" w:cs="宋体"/>
          <w:b/>
          <w:i/>
          <w:iCs/>
          <w:color w:val="auto"/>
          <w:sz w:val="32"/>
          <w:szCs w:val="32"/>
          <w:highlight w:val="none"/>
          <w:u w:val="single"/>
          <w:lang w:val="en-US" w:eastAsia="zh-CN"/>
        </w:rPr>
        <w:t>八</w:t>
      </w:r>
      <w:r>
        <w:rPr>
          <w:rFonts w:hint="eastAsia" w:ascii="宋体" w:hAnsi="宋体" w:cs="宋体"/>
          <w:b/>
          <w:i/>
          <w:iCs/>
          <w:color w:val="auto"/>
          <w:sz w:val="32"/>
          <w:szCs w:val="32"/>
          <w:highlight w:val="none"/>
          <w:u w:val="single"/>
        </w:rPr>
        <w:t>、特定资格要求的证明文件</w:t>
      </w:r>
    </w:p>
    <w:p w14:paraId="7FF8B04D">
      <w:pPr>
        <w:spacing w:line="360" w:lineRule="auto"/>
        <w:ind w:firstLine="480"/>
        <w:rPr>
          <w:rFonts w:hint="eastAsia" w:ascii="宋体" w:hAnsi="宋体" w:cs="宋体"/>
          <w:bCs/>
          <w:iCs/>
          <w:color w:val="auto"/>
          <w:sz w:val="28"/>
          <w:szCs w:val="21"/>
          <w:highlight w:val="none"/>
          <w:lang w:eastAsia="zh-CN"/>
        </w:rPr>
      </w:pPr>
      <w:r>
        <w:rPr>
          <w:rFonts w:hint="eastAsia" w:ascii="宋体" w:hAnsi="宋体" w:cs="宋体"/>
          <w:bCs/>
          <w:i/>
          <w:iCs w:val="0"/>
          <w:color w:val="auto"/>
          <w:sz w:val="28"/>
          <w:szCs w:val="21"/>
          <w:highlight w:val="none"/>
          <w:lang w:eastAsia="zh-CN"/>
        </w:rPr>
        <w:t>投标人或授权单位具备《辐射安全许可证》，以证明更换的X线类备件具备销售资质且符合辐射安全许可的规定。</w:t>
      </w:r>
    </w:p>
    <w:p w14:paraId="00309954">
      <w:pPr>
        <w:rPr>
          <w:rFonts w:hint="eastAsia" w:ascii="宋体" w:hAnsi="宋体" w:cs="新宋体"/>
          <w:b/>
          <w:iCs/>
          <w:color w:val="auto"/>
          <w:sz w:val="36"/>
          <w:szCs w:val="36"/>
          <w:highlight w:val="none"/>
          <w:lang w:val="en-US" w:eastAsia="zh-CN"/>
        </w:rPr>
      </w:pPr>
      <w:r>
        <w:rPr>
          <w:rFonts w:hint="eastAsia" w:ascii="宋体" w:hAnsi="宋体" w:cs="新宋体"/>
          <w:b/>
          <w:iCs/>
          <w:color w:val="auto"/>
          <w:sz w:val="36"/>
          <w:szCs w:val="36"/>
          <w:highlight w:val="none"/>
          <w:lang w:val="en-US" w:eastAsia="zh-CN"/>
        </w:rPr>
        <w:br w:type="page" w:clear="all"/>
      </w:r>
    </w:p>
    <w:p w14:paraId="6DD9759B">
      <w:pPr>
        <w:spacing w:line="480" w:lineRule="auto"/>
        <w:jc w:val="center"/>
        <w:rPr>
          <w:rFonts w:hint="eastAsia" w:ascii="宋体" w:hAnsi="宋体" w:cs="新宋体"/>
          <w:b/>
          <w:i/>
          <w:iCs w:val="0"/>
          <w:color w:val="auto"/>
          <w:sz w:val="36"/>
          <w:szCs w:val="36"/>
          <w:highlight w:val="none"/>
          <w:u w:val="single"/>
        </w:rPr>
      </w:pPr>
      <w:r>
        <w:rPr>
          <w:rFonts w:hint="eastAsia" w:ascii="宋体" w:hAnsi="宋体" w:cs="新宋体"/>
          <w:b/>
          <w:i/>
          <w:iCs w:val="0"/>
          <w:color w:val="auto"/>
          <w:sz w:val="36"/>
          <w:szCs w:val="36"/>
          <w:highlight w:val="none"/>
          <w:u w:val="single"/>
          <w:lang w:val="en-US" w:eastAsia="zh-CN"/>
        </w:rPr>
        <w:t>九</w:t>
      </w:r>
      <w:r>
        <w:rPr>
          <w:rFonts w:hint="eastAsia" w:ascii="宋体" w:hAnsi="宋体" w:cs="新宋体"/>
          <w:b/>
          <w:i/>
          <w:iCs w:val="0"/>
          <w:color w:val="auto"/>
          <w:sz w:val="36"/>
          <w:szCs w:val="36"/>
          <w:highlight w:val="none"/>
          <w:u w:val="single"/>
        </w:rPr>
        <w:t>、法人授权书</w:t>
      </w:r>
    </w:p>
    <w:p w14:paraId="0FA7C366">
      <w:pPr>
        <w:tabs>
          <w:tab w:val="left" w:pos="360"/>
        </w:tabs>
        <w:spacing w:line="480" w:lineRule="auto"/>
        <w:ind w:firstLine="560"/>
        <w:rPr>
          <w:rFonts w:hint="eastAsia" w:ascii="宋体" w:hAnsi="宋体"/>
          <w:color w:val="auto"/>
          <w:sz w:val="28"/>
          <w:szCs w:val="28"/>
          <w:highlight w:val="none"/>
        </w:rPr>
      </w:pPr>
      <w:r>
        <w:rPr>
          <w:rFonts w:hint="eastAsia" w:ascii="宋体" w:hAnsi="宋体"/>
          <w:color w:val="auto"/>
          <w:sz w:val="28"/>
          <w:szCs w:val="28"/>
          <w:highlight w:val="none"/>
        </w:rPr>
        <w:t>本授权书声明：__________（投标人名称）授权___________（被授权人的姓名）为我方就</w:t>
      </w:r>
      <w:r>
        <w:rPr>
          <w:rFonts w:hint="eastAsia" w:ascii="宋体" w:hAnsi="宋体"/>
          <w:color w:val="auto"/>
          <w:sz w:val="28"/>
          <w:szCs w:val="28"/>
          <w:highlight w:val="none"/>
          <w:lang w:eastAsia="zh-CN"/>
        </w:rPr>
        <w:t>JSZC-320923-SNST-G2025-0002</w:t>
      </w:r>
      <w:r>
        <w:rPr>
          <w:rFonts w:hint="eastAsia" w:ascii="宋体" w:hAnsi="宋体"/>
          <w:color w:val="auto"/>
          <w:sz w:val="28"/>
          <w:szCs w:val="28"/>
          <w:highlight w:val="none"/>
        </w:rPr>
        <w:t>号项目采购活动的合法代理人，以本单位名义全权处理一切与该项目采购有关的事务。</w:t>
      </w:r>
    </w:p>
    <w:p w14:paraId="0E2047D4">
      <w:pPr>
        <w:tabs>
          <w:tab w:val="left" w:pos="360"/>
        </w:tabs>
        <w:spacing w:line="480" w:lineRule="auto"/>
        <w:ind w:firstLine="560"/>
        <w:rPr>
          <w:rFonts w:hint="eastAsia" w:ascii="宋体" w:hAnsi="宋体"/>
          <w:color w:val="auto"/>
          <w:sz w:val="28"/>
          <w:szCs w:val="28"/>
          <w:highlight w:val="none"/>
        </w:rPr>
      </w:pPr>
      <w:r>
        <w:rPr>
          <w:rFonts w:hint="eastAsia" w:ascii="宋体" w:hAnsi="宋体"/>
          <w:color w:val="auto"/>
          <w:sz w:val="28"/>
          <w:szCs w:val="28"/>
          <w:highlight w:val="none"/>
        </w:rPr>
        <w:t>本授权书于</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月</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日起生效，特此声明。</w:t>
      </w:r>
    </w:p>
    <w:p w14:paraId="0B95778D">
      <w:pPr>
        <w:tabs>
          <w:tab w:val="left" w:pos="360"/>
        </w:tabs>
        <w:spacing w:line="480" w:lineRule="auto"/>
        <w:ind w:firstLine="1120"/>
        <w:rPr>
          <w:rFonts w:hint="eastAsia" w:ascii="宋体" w:hAnsi="宋体"/>
          <w:color w:val="auto"/>
          <w:sz w:val="28"/>
          <w:szCs w:val="28"/>
          <w:highlight w:val="none"/>
          <w:u w:val="single"/>
        </w:rPr>
      </w:pPr>
      <w:r>
        <w:rPr>
          <w:rFonts w:hint="eastAsia" w:ascii="宋体" w:hAnsi="宋体"/>
          <w:color w:val="auto"/>
          <w:sz w:val="28"/>
          <w:szCs w:val="28"/>
          <w:highlight w:val="none"/>
        </w:rPr>
        <w:t>被授权人身份证号码：</w:t>
      </w:r>
      <w:r>
        <w:rPr>
          <w:rFonts w:hint="eastAsia" w:ascii="宋体" w:hAnsi="宋体"/>
          <w:color w:val="auto"/>
          <w:sz w:val="28"/>
          <w:szCs w:val="28"/>
          <w:highlight w:val="none"/>
          <w:u w:val="single"/>
        </w:rPr>
        <w:t xml:space="preserve">                     </w:t>
      </w:r>
    </w:p>
    <w:p w14:paraId="66DE2A15">
      <w:pPr>
        <w:tabs>
          <w:tab w:val="left" w:pos="360"/>
        </w:tabs>
        <w:spacing w:line="480" w:lineRule="auto"/>
        <w:ind w:firstLine="1120"/>
        <w:rPr>
          <w:rFonts w:hint="eastAsia" w:ascii="宋体" w:hAnsi="宋体"/>
          <w:color w:val="auto"/>
          <w:sz w:val="28"/>
          <w:szCs w:val="28"/>
          <w:highlight w:val="none"/>
          <w:u w:val="single"/>
        </w:rPr>
      </w:pPr>
      <w:r>
        <w:rPr>
          <w:rFonts w:hint="eastAsia" w:ascii="宋体" w:hAnsi="宋体"/>
          <w:color w:val="auto"/>
          <w:sz w:val="28"/>
          <w:szCs w:val="28"/>
          <w:highlight w:val="none"/>
        </w:rPr>
        <w:t>被授权人联系电话：（手机）</w:t>
      </w:r>
      <w:r>
        <w:rPr>
          <w:rFonts w:hint="eastAsia" w:ascii="宋体" w:hAnsi="宋体"/>
          <w:color w:val="auto"/>
          <w:sz w:val="28"/>
          <w:szCs w:val="28"/>
          <w:highlight w:val="none"/>
          <w:u w:val="single"/>
        </w:rPr>
        <w:t xml:space="preserve">               </w:t>
      </w:r>
    </w:p>
    <w:p w14:paraId="56A74FA4">
      <w:pPr>
        <w:tabs>
          <w:tab w:val="left" w:pos="360"/>
        </w:tabs>
        <w:spacing w:line="480" w:lineRule="auto"/>
        <w:ind w:firstLine="1120"/>
        <w:rPr>
          <w:rFonts w:hint="eastAsia" w:ascii="宋体" w:hAnsi="宋体"/>
          <w:color w:val="auto"/>
          <w:sz w:val="28"/>
          <w:szCs w:val="28"/>
          <w:highlight w:val="none"/>
          <w:u w:val="single"/>
        </w:rPr>
      </w:pPr>
      <w:r>
        <w:rPr>
          <w:rFonts w:hint="eastAsia" w:ascii="宋体" w:hAnsi="宋体"/>
          <w:color w:val="auto"/>
          <w:sz w:val="28"/>
          <w:szCs w:val="28"/>
          <w:highlight w:val="none"/>
        </w:rPr>
        <w:t>授权单位名称：</w:t>
      </w:r>
      <w:r>
        <w:rPr>
          <w:rFonts w:hint="eastAsia" w:ascii="宋体" w:hAnsi="宋体"/>
          <w:color w:val="auto"/>
          <w:sz w:val="28"/>
          <w:szCs w:val="28"/>
          <w:highlight w:val="none"/>
          <w:u w:val="single"/>
        </w:rPr>
        <w:t>（加盖CA电子签章或盖公章）</w:t>
      </w:r>
    </w:p>
    <w:p w14:paraId="10978243">
      <w:pPr>
        <w:tabs>
          <w:tab w:val="left" w:pos="360"/>
        </w:tabs>
        <w:spacing w:line="480" w:lineRule="auto"/>
        <w:ind w:firstLine="1120"/>
        <w:rPr>
          <w:rFonts w:hint="eastAsia" w:ascii="宋体" w:hAnsi="宋体"/>
          <w:color w:val="auto"/>
          <w:sz w:val="28"/>
          <w:szCs w:val="28"/>
          <w:highlight w:val="none"/>
          <w:u w:val="single"/>
        </w:rPr>
      </w:pPr>
      <w:r>
        <w:rPr>
          <w:rFonts w:hint="eastAsia" w:ascii="宋体" w:hAnsi="宋体"/>
          <w:color w:val="auto"/>
          <w:sz w:val="28"/>
          <w:szCs w:val="28"/>
          <w:highlight w:val="none"/>
        </w:rPr>
        <w:t>单位地址：</w:t>
      </w:r>
      <w:r>
        <w:rPr>
          <w:rFonts w:hint="eastAsia" w:ascii="宋体" w:hAnsi="宋体"/>
          <w:color w:val="auto"/>
          <w:sz w:val="28"/>
          <w:szCs w:val="28"/>
          <w:highlight w:val="none"/>
          <w:u w:val="single"/>
        </w:rPr>
        <w:t xml:space="preserve">                               </w:t>
      </w:r>
    </w:p>
    <w:p w14:paraId="6FEAF6A2">
      <w:pPr>
        <w:tabs>
          <w:tab w:val="left" w:pos="360"/>
        </w:tabs>
        <w:spacing w:line="480" w:lineRule="auto"/>
        <w:ind w:firstLine="1195"/>
        <w:rPr>
          <w:rFonts w:hint="eastAsia" w:ascii="宋体" w:hAnsi="宋体"/>
          <w:color w:val="auto"/>
          <w:sz w:val="28"/>
          <w:szCs w:val="28"/>
          <w:highlight w:val="none"/>
        </w:rPr>
      </w:pPr>
      <w:r>
        <w:rPr>
          <w:rFonts w:hint="eastAsia" w:ascii="宋体" w:hAnsi="宋体"/>
          <w:color w:val="auto"/>
          <w:sz w:val="28"/>
          <w:szCs w:val="28"/>
          <w:highlight w:val="none"/>
        </w:rPr>
        <w:t>日期：</w:t>
      </w:r>
      <w:bookmarkStart w:id="184" w:name="_Hlt26955070"/>
      <w:bookmarkEnd w:id="184"/>
      <w:bookmarkStart w:id="185" w:name="_格式3__银行出具的资信证明"/>
      <w:bookmarkEnd w:id="185"/>
      <w:bookmarkStart w:id="186" w:name="_Hlt26671380"/>
      <w:bookmarkEnd w:id="186"/>
      <w:r>
        <w:rPr>
          <w:rFonts w:hint="eastAsia" w:ascii="宋体" w:hAnsi="宋体"/>
          <w:color w:val="auto"/>
          <w:sz w:val="28"/>
          <w:szCs w:val="28"/>
          <w:highlight w:val="none"/>
          <w:u w:val="single"/>
        </w:rPr>
        <w:t xml:space="preserve">                                  </w:t>
      </w:r>
    </w:p>
    <w:p w14:paraId="697AD413">
      <w:pPr>
        <w:pStyle w:val="45"/>
        <w:tabs>
          <w:tab w:val="left" w:pos="360"/>
        </w:tabs>
        <w:spacing w:beforeAutospacing="0" w:afterAutospacing="0" w:line="360" w:lineRule="auto"/>
        <w:ind w:firstLine="480"/>
        <w:jc w:val="both"/>
        <w:rPr>
          <w:rFonts w:asciiTheme="minorEastAsia" w:hAnsiTheme="minorEastAsia"/>
          <w:sz w:val="28"/>
          <w:szCs w:val="28"/>
        </w:rPr>
      </w:pPr>
      <w:r>
        <w:rPr>
          <w:rFonts w:hint="eastAsia" w:asciiTheme="minorEastAsia" w:hAnsiTheme="minorEastAsia"/>
          <w:b/>
          <w:bCs/>
          <w:sz w:val="28"/>
          <w:szCs w:val="28"/>
        </w:rPr>
        <w:t>（附：被授权人身份证正反面</w:t>
      </w:r>
      <w:r>
        <w:rPr>
          <w:rFonts w:hint="eastAsia" w:asciiTheme="minorEastAsia" w:hAnsiTheme="minorEastAsia"/>
          <w:b/>
          <w:bCs/>
          <w:sz w:val="28"/>
          <w:szCs w:val="28"/>
          <w:lang w:val="en-US" w:eastAsia="zh-CN"/>
        </w:rPr>
        <w:t>复印件</w:t>
      </w:r>
      <w:r>
        <w:rPr>
          <w:rFonts w:hint="eastAsia" w:asciiTheme="minorEastAsia" w:hAnsiTheme="minorEastAsia"/>
          <w:b/>
          <w:bCs/>
          <w:sz w:val="28"/>
          <w:szCs w:val="28"/>
        </w:rPr>
        <w:t>）</w:t>
      </w:r>
    </w:p>
    <w:tbl>
      <w:tblPr>
        <w:tblStyle w:val="52"/>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52"/>
        <w:gridCol w:w="4111"/>
      </w:tblGrid>
      <w:tr w14:paraId="024AE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4" w:hRule="atLeast"/>
        </w:trPr>
        <w:tc>
          <w:tcPr>
            <w:tcW w:w="4252" w:type="dxa"/>
            <w:noWrap/>
          </w:tcPr>
          <w:p w14:paraId="1FAD58A1">
            <w:pPr>
              <w:pStyle w:val="45"/>
              <w:jc w:val="center"/>
              <w:rPr>
                <w:rFonts w:ascii="宋体" w:hAnsi="宋体" w:eastAsia="宋体" w:cs="宋体"/>
                <w:b/>
                <w:iCs/>
                <w:szCs w:val="32"/>
              </w:rPr>
            </w:pPr>
          </w:p>
          <w:p w14:paraId="772DC195">
            <w:pPr>
              <w:pStyle w:val="45"/>
              <w:jc w:val="center"/>
              <w:rPr>
                <w:rFonts w:ascii="宋体" w:hAnsi="宋体" w:eastAsia="宋体" w:cs="宋体"/>
                <w:b/>
                <w:iCs/>
                <w:szCs w:val="32"/>
              </w:rPr>
            </w:pPr>
          </w:p>
          <w:p w14:paraId="44B0E697">
            <w:pPr>
              <w:pStyle w:val="45"/>
              <w:jc w:val="center"/>
              <w:rPr>
                <w:rFonts w:ascii="宋体" w:hAnsi="宋体" w:eastAsia="宋体" w:cs="宋体"/>
                <w:b/>
                <w:iCs/>
                <w:szCs w:val="32"/>
              </w:rPr>
            </w:pPr>
            <w:r>
              <w:rPr>
                <w:rFonts w:hint="eastAsia" w:ascii="宋体" w:hAnsi="宋体" w:eastAsia="宋体" w:cs="宋体"/>
                <w:b/>
                <w:iCs/>
                <w:szCs w:val="32"/>
              </w:rPr>
              <w:t>正面</w:t>
            </w:r>
          </w:p>
        </w:tc>
        <w:tc>
          <w:tcPr>
            <w:tcW w:w="4111" w:type="dxa"/>
            <w:noWrap/>
          </w:tcPr>
          <w:p w14:paraId="5ECC2A16">
            <w:pPr>
              <w:pStyle w:val="45"/>
              <w:jc w:val="center"/>
              <w:rPr>
                <w:rFonts w:ascii="宋体" w:hAnsi="宋体" w:eastAsia="宋体" w:cs="宋体"/>
                <w:b/>
                <w:iCs/>
                <w:szCs w:val="32"/>
              </w:rPr>
            </w:pPr>
          </w:p>
          <w:p w14:paraId="425DE1A0">
            <w:pPr>
              <w:pStyle w:val="45"/>
              <w:jc w:val="center"/>
              <w:rPr>
                <w:rFonts w:ascii="宋体" w:hAnsi="宋体" w:eastAsia="宋体" w:cs="宋体"/>
                <w:b/>
                <w:iCs/>
                <w:szCs w:val="32"/>
              </w:rPr>
            </w:pPr>
          </w:p>
          <w:p w14:paraId="34DC857A">
            <w:pPr>
              <w:pStyle w:val="45"/>
              <w:jc w:val="center"/>
              <w:rPr>
                <w:rFonts w:ascii="宋体" w:hAnsi="宋体" w:eastAsia="宋体" w:cs="宋体"/>
                <w:b/>
                <w:iCs/>
                <w:szCs w:val="32"/>
              </w:rPr>
            </w:pPr>
            <w:r>
              <w:rPr>
                <w:rFonts w:hint="eastAsia" w:ascii="宋体" w:hAnsi="宋体" w:eastAsia="宋体" w:cs="宋体"/>
                <w:b/>
                <w:iCs/>
                <w:szCs w:val="32"/>
              </w:rPr>
              <w:t>反面</w:t>
            </w:r>
          </w:p>
        </w:tc>
      </w:tr>
    </w:tbl>
    <w:p w14:paraId="15309061">
      <w:pPr>
        <w:spacing w:line="480" w:lineRule="auto"/>
        <w:ind w:firstLine="420"/>
        <w:rPr>
          <w:i/>
          <w:color w:val="auto"/>
          <w:sz w:val="24"/>
          <w:szCs w:val="24"/>
          <w:highlight w:val="none"/>
          <w:u w:val="single"/>
        </w:rPr>
      </w:pPr>
    </w:p>
    <w:p w14:paraId="61D7ADA2">
      <w:pPr>
        <w:spacing w:line="460" w:lineRule="exact"/>
        <w:rPr>
          <w:rFonts w:hint="eastAsia" w:ascii="宋体" w:hAnsi="宋体"/>
          <w:bCs/>
          <w:color w:val="auto"/>
          <w:sz w:val="24"/>
          <w:szCs w:val="21"/>
          <w:highlight w:val="none"/>
        </w:rPr>
      </w:pPr>
    </w:p>
    <w:p w14:paraId="1DBD74C7">
      <w:pPr>
        <w:pStyle w:val="50"/>
        <w:rPr>
          <w:rFonts w:hint="eastAsia"/>
          <w:color w:val="auto"/>
          <w:highlight w:val="none"/>
        </w:rPr>
      </w:pPr>
    </w:p>
    <w:p w14:paraId="62168D96">
      <w:pPr>
        <w:numPr>
          <w:ilvl w:val="0"/>
          <w:numId w:val="8"/>
        </w:numPr>
        <w:spacing w:line="480" w:lineRule="auto"/>
        <w:jc w:val="center"/>
        <w:rPr>
          <w:rFonts w:hint="eastAsia" w:ascii="宋体" w:hAnsi="宋体" w:cs="新宋体"/>
          <w:b/>
          <w:i/>
          <w:iCs w:val="0"/>
          <w:color w:val="auto"/>
          <w:sz w:val="36"/>
          <w:szCs w:val="36"/>
          <w:highlight w:val="none"/>
          <w:u w:val="single"/>
        </w:rPr>
      </w:pPr>
      <w:r>
        <w:rPr>
          <w:rFonts w:ascii="宋体" w:hAnsi="宋体" w:eastAsia="幼圆" w:cs="Arial"/>
          <w:b/>
          <w:color w:val="auto"/>
          <w:sz w:val="24"/>
          <w:szCs w:val="44"/>
          <w:highlight w:val="none"/>
        </w:rPr>
        <w:br w:type="page" w:clear="all"/>
      </w:r>
      <w:r>
        <w:rPr>
          <w:rFonts w:hint="eastAsia" w:ascii="宋体" w:hAnsi="宋体" w:cs="新宋体"/>
          <w:b/>
          <w:i/>
          <w:iCs w:val="0"/>
          <w:color w:val="auto"/>
          <w:sz w:val="36"/>
          <w:szCs w:val="36"/>
          <w:highlight w:val="none"/>
          <w:u w:val="single"/>
        </w:rPr>
        <w:t>投标函</w:t>
      </w:r>
    </w:p>
    <w:p w14:paraId="7EABBF36">
      <w:pPr>
        <w:spacing w:line="360" w:lineRule="auto"/>
        <w:jc w:val="left"/>
        <w:rPr>
          <w:rFonts w:hint="eastAsia" w:ascii="宋体" w:hAnsi="宋体" w:eastAsia="宋体" w:cs="Times New Roman"/>
          <w:color w:val="auto"/>
          <w:sz w:val="28"/>
          <w:highlight w:val="none"/>
          <w:lang w:eastAsia="zh-CN"/>
        </w:rPr>
      </w:pPr>
      <w:r>
        <w:rPr>
          <w:rFonts w:hint="eastAsia" w:ascii="宋体" w:hAnsi="宋体" w:eastAsia="宋体" w:cs="Times New Roman"/>
          <w:color w:val="auto"/>
          <w:sz w:val="28"/>
          <w:highlight w:val="none"/>
        </w:rPr>
        <w:t xml:space="preserve">致： </w:t>
      </w:r>
      <w:r>
        <w:rPr>
          <w:rFonts w:hint="eastAsia" w:ascii="宋体" w:hAnsi="宋体" w:cs="Times New Roman"/>
          <w:color w:val="auto"/>
          <w:sz w:val="28"/>
          <w:highlight w:val="none"/>
          <w:lang w:eastAsia="zh-CN"/>
        </w:rPr>
        <w:t>阜宁县沟墩中心卫生院</w:t>
      </w:r>
    </w:p>
    <w:p w14:paraId="5EFCFBC9">
      <w:pPr>
        <w:spacing w:line="360" w:lineRule="auto"/>
        <w:ind w:firstLine="480"/>
        <w:jc w:val="left"/>
        <w:rPr>
          <w:rFonts w:hint="eastAsia" w:ascii="宋体" w:hAnsi="宋体"/>
          <w:color w:val="auto"/>
          <w:sz w:val="28"/>
          <w:highlight w:val="none"/>
        </w:rPr>
      </w:pPr>
      <w:r>
        <w:rPr>
          <w:rFonts w:hint="eastAsia" w:ascii="宋体" w:hAnsi="宋体" w:eastAsia="宋体" w:cs="Times New Roman"/>
          <w:color w:val="auto"/>
          <w:sz w:val="28"/>
          <w:highlight w:val="none"/>
        </w:rPr>
        <w:t>根据贵方的</w:t>
      </w:r>
      <w:r>
        <w:rPr>
          <w:rFonts w:hint="eastAsia" w:ascii="宋体" w:hAnsi="宋体" w:cs="Times New Roman"/>
          <w:color w:val="auto"/>
          <w:sz w:val="28"/>
          <w:highlight w:val="none"/>
          <w:lang w:eastAsia="zh-CN"/>
        </w:rPr>
        <w:t>JSZC-320923-SNST-G2025-0002</w:t>
      </w:r>
      <w:r>
        <w:rPr>
          <w:rFonts w:hint="eastAsia" w:ascii="宋体" w:hAnsi="宋体" w:eastAsia="宋体" w:cs="Times New Roman"/>
          <w:color w:val="auto"/>
          <w:sz w:val="28"/>
          <w:highlight w:val="none"/>
        </w:rPr>
        <w:t>号招标文件，正式授权下</w:t>
      </w:r>
      <w:r>
        <w:rPr>
          <w:rFonts w:hint="eastAsia" w:ascii="宋体" w:hAnsi="宋体"/>
          <w:color w:val="auto"/>
          <w:sz w:val="28"/>
          <w:highlight w:val="none"/>
        </w:rPr>
        <w:t>述签字人_________________(姓名)代表我方______________（投标人的名称），全权处理本次项目投标的有关事宜。</w:t>
      </w:r>
    </w:p>
    <w:p w14:paraId="545D9375">
      <w:pPr>
        <w:spacing w:line="360" w:lineRule="auto"/>
        <w:ind w:firstLine="480"/>
        <w:jc w:val="left"/>
        <w:rPr>
          <w:rFonts w:hint="eastAsia" w:ascii="宋体" w:hAnsi="宋体"/>
          <w:color w:val="auto"/>
          <w:sz w:val="28"/>
          <w:highlight w:val="none"/>
        </w:rPr>
      </w:pPr>
      <w:r>
        <w:rPr>
          <w:rFonts w:hint="eastAsia" w:ascii="宋体" w:hAnsi="宋体"/>
          <w:color w:val="auto"/>
          <w:sz w:val="28"/>
          <w:highlight w:val="none"/>
        </w:rPr>
        <w:t>据此函，签字人兹宣布同意如下：</w:t>
      </w:r>
    </w:p>
    <w:p w14:paraId="682180D1">
      <w:pPr>
        <w:spacing w:line="360" w:lineRule="auto"/>
        <w:ind w:firstLine="480"/>
        <w:jc w:val="left"/>
        <w:rPr>
          <w:rFonts w:hint="eastAsia" w:ascii="宋体" w:hAnsi="宋体"/>
          <w:color w:val="auto"/>
          <w:sz w:val="28"/>
          <w:highlight w:val="none"/>
        </w:rPr>
      </w:pPr>
      <w:r>
        <w:rPr>
          <w:rFonts w:hint="eastAsia" w:ascii="宋体" w:hAnsi="宋体"/>
          <w:color w:val="auto"/>
          <w:sz w:val="28"/>
          <w:highlight w:val="none"/>
        </w:rPr>
        <w:t>1.按招标文件规定的各项要求，向买方提供所需货物（包含与货物相关的服务）。</w:t>
      </w:r>
    </w:p>
    <w:p w14:paraId="49220888">
      <w:pPr>
        <w:spacing w:line="360" w:lineRule="auto"/>
        <w:ind w:firstLine="480"/>
        <w:jc w:val="left"/>
        <w:rPr>
          <w:rFonts w:hint="eastAsia" w:ascii="宋体" w:hAnsi="宋体"/>
          <w:color w:val="auto"/>
          <w:sz w:val="28"/>
          <w:highlight w:val="none"/>
        </w:rPr>
      </w:pPr>
      <w:r>
        <w:rPr>
          <w:rFonts w:hint="eastAsia" w:ascii="宋体" w:hAnsi="宋体"/>
          <w:color w:val="auto"/>
          <w:sz w:val="28"/>
          <w:highlight w:val="none"/>
        </w:rPr>
        <w:t>2.我们完全理解贵方不一定将合同授予最低报价的投标人。</w:t>
      </w:r>
    </w:p>
    <w:p w14:paraId="3510D08F">
      <w:pPr>
        <w:spacing w:line="360" w:lineRule="auto"/>
        <w:ind w:firstLine="480"/>
        <w:jc w:val="left"/>
        <w:rPr>
          <w:rFonts w:hint="eastAsia" w:ascii="宋体" w:hAnsi="宋体"/>
          <w:color w:val="auto"/>
          <w:sz w:val="28"/>
          <w:highlight w:val="none"/>
        </w:rPr>
      </w:pPr>
      <w:r>
        <w:rPr>
          <w:rFonts w:hint="eastAsia" w:ascii="宋体" w:hAnsi="宋体"/>
          <w:color w:val="auto"/>
          <w:sz w:val="28"/>
          <w:highlight w:val="none"/>
        </w:rPr>
        <w:t>3.我们已详细审核全部招标文件及其有效补充文件，我们知道必须放弃提出含糊不清或误解问题的权利。</w:t>
      </w:r>
    </w:p>
    <w:p w14:paraId="3B416560">
      <w:pPr>
        <w:spacing w:line="360" w:lineRule="auto"/>
        <w:ind w:firstLine="480"/>
        <w:jc w:val="left"/>
        <w:rPr>
          <w:rFonts w:hint="eastAsia" w:ascii="宋体" w:hAnsi="宋体"/>
          <w:color w:val="auto"/>
          <w:sz w:val="28"/>
          <w:highlight w:val="none"/>
        </w:rPr>
      </w:pPr>
      <w:r>
        <w:rPr>
          <w:rFonts w:hint="eastAsia" w:ascii="宋体" w:hAnsi="宋体"/>
          <w:color w:val="auto"/>
          <w:sz w:val="28"/>
          <w:highlight w:val="none"/>
        </w:rPr>
        <w:t>4.我们同意从规定的开标日期起遵循本投标文件，并在规定的投标有效期期满之前均具有约束力。</w:t>
      </w:r>
    </w:p>
    <w:p w14:paraId="2FBBCA5E">
      <w:pPr>
        <w:spacing w:line="360" w:lineRule="auto"/>
        <w:ind w:firstLine="480"/>
        <w:jc w:val="left"/>
        <w:rPr>
          <w:rFonts w:hint="eastAsia" w:ascii="宋体" w:hAnsi="宋体"/>
          <w:color w:val="auto"/>
          <w:sz w:val="28"/>
          <w:highlight w:val="none"/>
        </w:rPr>
      </w:pPr>
      <w:r>
        <w:rPr>
          <w:rFonts w:ascii="宋体" w:hAnsi="宋体"/>
          <w:color w:val="auto"/>
          <w:sz w:val="28"/>
          <w:highlight w:val="none"/>
        </w:rPr>
        <w:t>5</w:t>
      </w:r>
      <w:r>
        <w:rPr>
          <w:rFonts w:hint="eastAsia" w:ascii="宋体" w:hAnsi="宋体"/>
          <w:color w:val="auto"/>
          <w:sz w:val="28"/>
          <w:highlight w:val="none"/>
        </w:rPr>
        <w:t>.同意向贵方提供贵方可能另外要求的与投标有关的任何证据或资料，并保证我方已提供和将要提供的文件是真实的、准确的。</w:t>
      </w:r>
    </w:p>
    <w:p w14:paraId="7A1EC9C3">
      <w:pPr>
        <w:spacing w:line="360" w:lineRule="auto"/>
        <w:ind w:firstLine="480"/>
        <w:jc w:val="left"/>
        <w:rPr>
          <w:rFonts w:hint="eastAsia" w:ascii="宋体" w:hAnsi="宋体"/>
          <w:color w:val="auto"/>
          <w:sz w:val="28"/>
          <w:highlight w:val="none"/>
        </w:rPr>
      </w:pPr>
      <w:r>
        <w:rPr>
          <w:rFonts w:ascii="宋体" w:hAnsi="宋体"/>
          <w:color w:val="auto"/>
          <w:sz w:val="28"/>
          <w:highlight w:val="none"/>
        </w:rPr>
        <w:t>6</w:t>
      </w:r>
      <w:r>
        <w:rPr>
          <w:rFonts w:hint="eastAsia" w:ascii="宋体" w:hAnsi="宋体"/>
          <w:color w:val="auto"/>
          <w:sz w:val="28"/>
          <w:highlight w:val="none"/>
        </w:rPr>
        <w:t>.一旦我方中标,我方将根据招标文件的规定，严格履行合同的责任和义务,并保证在招标文件规定的时间完成项目，交付买方验收、使用。</w:t>
      </w:r>
    </w:p>
    <w:p w14:paraId="115F3868">
      <w:pPr>
        <w:spacing w:line="360" w:lineRule="auto"/>
        <w:ind w:left="425"/>
        <w:jc w:val="left"/>
        <w:rPr>
          <w:rFonts w:hint="eastAsia" w:ascii="宋体" w:hAnsi="宋体"/>
          <w:color w:val="auto"/>
          <w:sz w:val="28"/>
          <w:highlight w:val="none"/>
        </w:rPr>
      </w:pPr>
      <w:r>
        <w:rPr>
          <w:rFonts w:ascii="宋体" w:hAnsi="宋体"/>
          <w:color w:val="auto"/>
          <w:sz w:val="28"/>
          <w:highlight w:val="none"/>
        </w:rPr>
        <w:t>7</w:t>
      </w:r>
      <w:r>
        <w:rPr>
          <w:rFonts w:hint="eastAsia" w:ascii="宋体" w:hAnsi="宋体"/>
          <w:color w:val="auto"/>
          <w:sz w:val="28"/>
          <w:highlight w:val="none"/>
        </w:rPr>
        <w:t>.与本投标有关的正式通讯地址为：</w:t>
      </w:r>
    </w:p>
    <w:p w14:paraId="48D4A3E3">
      <w:pPr>
        <w:spacing w:line="360" w:lineRule="auto"/>
        <w:ind w:left="420" w:firstLine="480"/>
        <w:jc w:val="left"/>
        <w:rPr>
          <w:rFonts w:hint="eastAsia" w:ascii="宋体" w:hAnsi="宋体"/>
          <w:color w:val="auto"/>
          <w:sz w:val="28"/>
          <w:highlight w:val="none"/>
        </w:rPr>
      </w:pPr>
      <w:r>
        <w:rPr>
          <w:rFonts w:hint="eastAsia" w:ascii="宋体" w:hAnsi="宋体"/>
          <w:color w:val="auto"/>
          <w:sz w:val="28"/>
          <w:highlight w:val="none"/>
        </w:rPr>
        <w:t>地      址：</w:t>
      </w:r>
    </w:p>
    <w:p w14:paraId="3FCE2417">
      <w:pPr>
        <w:spacing w:line="360" w:lineRule="auto"/>
        <w:ind w:left="420" w:firstLine="480"/>
        <w:jc w:val="left"/>
        <w:rPr>
          <w:rFonts w:hint="eastAsia" w:ascii="宋体" w:hAnsi="宋体"/>
          <w:color w:val="auto"/>
          <w:sz w:val="28"/>
          <w:highlight w:val="none"/>
        </w:rPr>
      </w:pPr>
      <w:r>
        <w:rPr>
          <w:rFonts w:hint="eastAsia" w:ascii="宋体" w:hAnsi="宋体"/>
          <w:color w:val="auto"/>
          <w:sz w:val="28"/>
          <w:highlight w:val="none"/>
        </w:rPr>
        <w:t>电      话：</w:t>
      </w:r>
    </w:p>
    <w:p w14:paraId="3DA9A556">
      <w:pPr>
        <w:spacing w:line="360" w:lineRule="auto"/>
        <w:ind w:left="420" w:firstLine="480"/>
        <w:jc w:val="left"/>
        <w:rPr>
          <w:rFonts w:hint="eastAsia" w:ascii="宋体" w:hAnsi="宋体"/>
          <w:color w:val="auto"/>
          <w:sz w:val="28"/>
          <w:highlight w:val="none"/>
        </w:rPr>
      </w:pPr>
      <w:r>
        <w:rPr>
          <w:rFonts w:hint="eastAsia" w:ascii="宋体" w:hAnsi="宋体"/>
          <w:color w:val="auto"/>
          <w:sz w:val="28"/>
          <w:highlight w:val="none"/>
        </w:rPr>
        <w:t>传      真：</w:t>
      </w:r>
    </w:p>
    <w:p w14:paraId="721C0FC4">
      <w:pPr>
        <w:spacing w:line="360" w:lineRule="auto"/>
        <w:ind w:left="420" w:firstLine="480"/>
        <w:jc w:val="left"/>
        <w:rPr>
          <w:rFonts w:hint="eastAsia" w:ascii="宋体" w:hAnsi="宋体"/>
          <w:color w:val="auto"/>
          <w:sz w:val="28"/>
          <w:highlight w:val="none"/>
        </w:rPr>
      </w:pPr>
      <w:r>
        <w:rPr>
          <w:rFonts w:hint="eastAsia" w:ascii="宋体" w:hAnsi="宋体"/>
          <w:color w:val="auto"/>
          <w:sz w:val="28"/>
          <w:highlight w:val="none"/>
        </w:rPr>
        <w:t>投标人开户行：</w:t>
      </w:r>
    </w:p>
    <w:p w14:paraId="42474D1E">
      <w:pPr>
        <w:spacing w:line="360" w:lineRule="auto"/>
        <w:ind w:left="420" w:firstLine="480"/>
        <w:jc w:val="left"/>
        <w:rPr>
          <w:rFonts w:hint="eastAsia" w:ascii="宋体" w:hAnsi="宋体"/>
          <w:color w:val="auto"/>
          <w:sz w:val="28"/>
          <w:highlight w:val="none"/>
        </w:rPr>
      </w:pPr>
      <w:r>
        <w:rPr>
          <w:rFonts w:hint="eastAsia" w:ascii="宋体" w:hAnsi="宋体"/>
          <w:color w:val="auto"/>
          <w:sz w:val="28"/>
          <w:highlight w:val="none"/>
        </w:rPr>
        <w:t xml:space="preserve">账      号： </w:t>
      </w:r>
    </w:p>
    <w:p w14:paraId="2C5C0D69">
      <w:pPr>
        <w:pStyle w:val="45"/>
        <w:spacing w:beforeAutospacing="0" w:afterAutospacing="0" w:line="500" w:lineRule="exact"/>
        <w:ind w:left="420" w:firstLine="480"/>
        <w:rPr>
          <w:rFonts w:hAnsi="宋体" w:eastAsia="宋体" w:cs="宋体"/>
          <w:b/>
        </w:rPr>
      </w:pPr>
      <w:r>
        <w:rPr>
          <w:rFonts w:hint="eastAsia" w:cs="宋体" w:asciiTheme="minorEastAsia" w:hAnsiTheme="minorEastAsia"/>
          <w:b/>
          <w:bCs/>
          <w:sz w:val="28"/>
          <w:szCs w:val="28"/>
        </w:rPr>
        <w:t>投标人授权代表姓名（签字）：</w:t>
      </w:r>
    </w:p>
    <w:p w14:paraId="20FB49D9">
      <w:pPr>
        <w:spacing w:line="360" w:lineRule="auto"/>
        <w:ind w:left="420" w:firstLine="480"/>
        <w:rPr>
          <w:rFonts w:hint="eastAsia" w:ascii="宋体" w:hAnsi="宋体"/>
          <w:color w:val="auto"/>
          <w:sz w:val="28"/>
          <w:highlight w:val="none"/>
        </w:rPr>
      </w:pPr>
      <w:r>
        <w:rPr>
          <w:rFonts w:hint="eastAsia" w:ascii="宋体" w:hAnsi="宋体"/>
          <w:color w:val="auto"/>
          <w:sz w:val="28"/>
          <w:highlight w:val="none"/>
        </w:rPr>
        <w:t>日      期：________年____月____日</w:t>
      </w:r>
    </w:p>
    <w:p w14:paraId="41019C59">
      <w:pPr>
        <w:spacing w:line="360" w:lineRule="auto"/>
        <w:jc w:val="center"/>
        <w:rPr>
          <w:rFonts w:hint="default" w:ascii="宋体" w:hAnsi="宋体" w:eastAsia="宋体" w:cs="新宋体"/>
          <w:b/>
          <w:i/>
          <w:iCs w:val="0"/>
          <w:color w:val="auto"/>
          <w:sz w:val="36"/>
          <w:szCs w:val="36"/>
          <w:highlight w:val="none"/>
          <w:u w:val="single"/>
          <w:lang w:val="en-US" w:eastAsia="zh-CN"/>
        </w:rPr>
      </w:pPr>
      <w:r>
        <w:rPr>
          <w:rFonts w:hint="eastAsia" w:ascii="宋体" w:hAnsi="宋体" w:cs="新宋体"/>
          <w:b/>
          <w:i/>
          <w:iCs w:val="0"/>
          <w:color w:val="auto"/>
          <w:sz w:val="36"/>
          <w:szCs w:val="36"/>
          <w:highlight w:val="none"/>
          <w:u w:val="single"/>
          <w:lang w:val="en-US" w:eastAsia="zh-CN"/>
        </w:rPr>
        <w:t>十一</w:t>
      </w:r>
      <w:r>
        <w:rPr>
          <w:rFonts w:hint="eastAsia" w:ascii="宋体" w:hAnsi="宋体" w:cs="新宋体"/>
          <w:b/>
          <w:i/>
          <w:iCs w:val="0"/>
          <w:color w:val="auto"/>
          <w:sz w:val="36"/>
          <w:szCs w:val="36"/>
          <w:highlight w:val="none"/>
          <w:u w:val="single"/>
        </w:rPr>
        <w:t>、中小企业声明函</w:t>
      </w:r>
      <w:r>
        <w:rPr>
          <w:rFonts w:hint="eastAsia" w:ascii="宋体" w:hAnsi="宋体" w:cs="新宋体"/>
          <w:b/>
          <w:i/>
          <w:iCs w:val="0"/>
          <w:color w:val="auto"/>
          <w:sz w:val="36"/>
          <w:szCs w:val="36"/>
          <w:highlight w:val="none"/>
          <w:u w:val="single"/>
          <w:lang w:eastAsia="zh-CN"/>
        </w:rPr>
        <w:t>（</w:t>
      </w:r>
      <w:r>
        <w:rPr>
          <w:rFonts w:hint="eastAsia" w:ascii="宋体" w:hAnsi="宋体" w:cs="新宋体"/>
          <w:b/>
          <w:i/>
          <w:iCs w:val="0"/>
          <w:color w:val="auto"/>
          <w:sz w:val="36"/>
          <w:szCs w:val="36"/>
          <w:highlight w:val="none"/>
          <w:u w:val="single"/>
          <w:lang w:val="en-US" w:eastAsia="zh-CN"/>
        </w:rPr>
        <w:t>服务）</w:t>
      </w:r>
    </w:p>
    <w:p w14:paraId="0EF756E5">
      <w:pPr>
        <w:spacing w:line="360" w:lineRule="auto"/>
        <w:ind w:firstLine="360"/>
        <w:rPr>
          <w:rFonts w:hint="eastAsia" w:ascii="宋体" w:hAnsi="宋体"/>
          <w:color w:val="auto"/>
          <w:sz w:val="24"/>
          <w:szCs w:val="24"/>
          <w:highlight w:val="none"/>
        </w:rPr>
      </w:pPr>
      <w:r>
        <w:rPr>
          <w:rFonts w:hint="eastAsia" w:ascii="宋体" w:hAnsi="宋体"/>
          <w:color w:val="auto"/>
          <w:sz w:val="24"/>
          <w:szCs w:val="24"/>
          <w:highlight w:val="none"/>
        </w:rPr>
        <w:t>本公司郑重声明，根据《政府采购促进中小企业发展管理办法》(财库[2020]46号)的规定，本公司</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参加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阜宁县沟墩中心卫生院</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组织的采购编号为</w:t>
      </w:r>
      <w:r>
        <w:rPr>
          <w:rFonts w:hint="eastAsia" w:ascii="宋体" w:hAnsi="宋体"/>
          <w:color w:val="auto"/>
          <w:sz w:val="24"/>
          <w:szCs w:val="24"/>
          <w:highlight w:val="none"/>
          <w:u w:val="none"/>
          <w:lang w:eastAsia="zh-CN"/>
        </w:rPr>
        <w:t>JSZC-320923-SNST-G2025-0002</w:t>
      </w:r>
      <w:r>
        <w:rPr>
          <w:rFonts w:hint="eastAsia" w:ascii="宋体" w:hAnsi="宋体"/>
          <w:color w:val="auto"/>
          <w:sz w:val="24"/>
          <w:szCs w:val="24"/>
          <w:highlight w:val="none"/>
          <w:u w:val="none"/>
        </w:rPr>
        <w:t>，</w:t>
      </w:r>
      <w:r>
        <w:rPr>
          <w:rFonts w:hint="eastAsia" w:ascii="宋体" w:hAnsi="宋体"/>
          <w:color w:val="auto"/>
          <w:sz w:val="24"/>
          <w:szCs w:val="24"/>
          <w:highlight w:val="none"/>
          <w:u w:val="single"/>
          <w:lang w:eastAsia="zh-CN"/>
        </w:rPr>
        <w:t>阜宁县沟墩中心卫生院CT维保项目</w:t>
      </w:r>
      <w:r>
        <w:rPr>
          <w:rFonts w:hint="eastAsia" w:ascii="宋体" w:hAnsi="宋体"/>
          <w:color w:val="auto"/>
          <w:sz w:val="24"/>
          <w:szCs w:val="24"/>
          <w:highlight w:val="none"/>
        </w:rPr>
        <w:t>的采购活动，提供的服务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0B6BEC89">
      <w:pPr>
        <w:numPr>
          <w:ilvl w:val="0"/>
          <w:numId w:val="9"/>
        </w:numPr>
        <w:spacing w:line="460" w:lineRule="exact"/>
        <w:ind w:firstLine="360"/>
        <w:rPr>
          <w:rFonts w:hint="eastAsia" w:ascii="宋体" w:hAnsi="宋体"/>
          <w:color w:val="auto"/>
          <w:sz w:val="24"/>
          <w:szCs w:val="24"/>
          <w:highlight w:val="none"/>
          <w:u w:val="single"/>
        </w:rPr>
      </w:pPr>
      <w:r>
        <w:rPr>
          <w:rFonts w:hint="eastAsia" w:ascii="宋体" w:hAnsi="宋体"/>
          <w:color w:val="auto"/>
          <w:sz w:val="24"/>
          <w:szCs w:val="24"/>
          <w:highlight w:val="none"/>
          <w:u w:val="single"/>
          <w:lang w:eastAsia="zh-CN"/>
        </w:rPr>
        <w:t>阜宁县沟墩中心卫生院CT维保项目</w:t>
      </w:r>
      <w:r>
        <w:rPr>
          <w:rFonts w:hint="eastAsia" w:ascii="宋体" w:hAnsi="宋体"/>
          <w:color w:val="auto"/>
          <w:sz w:val="24"/>
          <w:szCs w:val="24"/>
          <w:highlight w:val="none"/>
        </w:rPr>
        <w:t>，属于</w:t>
      </w:r>
      <w:r>
        <w:rPr>
          <w:rFonts w:hint="eastAsia" w:ascii="宋体" w:hAnsi="宋体"/>
          <w:color w:val="auto"/>
          <w:sz w:val="24"/>
          <w:szCs w:val="24"/>
          <w:highlight w:val="none"/>
          <w:u w:val="single"/>
        </w:rPr>
        <w:t xml:space="preserve"> 其他未列明 </w:t>
      </w:r>
      <w:r>
        <w:rPr>
          <w:rFonts w:hint="eastAsia" w:ascii="宋体" w:hAnsi="宋体"/>
          <w:color w:val="auto"/>
          <w:sz w:val="24"/>
          <w:szCs w:val="24"/>
          <w:highlight w:val="none"/>
        </w:rPr>
        <w:t>行业；制造商为</w:t>
      </w:r>
      <w:r>
        <w:rPr>
          <w:rFonts w:hint="eastAsia" w:ascii="宋体" w:hAnsi="宋体"/>
          <w:color w:val="auto"/>
          <w:sz w:val="24"/>
          <w:szCs w:val="24"/>
          <w:highlight w:val="none"/>
          <w:u w:val="single"/>
        </w:rPr>
        <w:t>（企业名称）</w:t>
      </w:r>
      <w:r>
        <w:rPr>
          <w:rFonts w:hint="eastAsia" w:ascii="宋体" w:hAnsi="宋体"/>
          <w:color w:val="auto"/>
          <w:sz w:val="24"/>
          <w:szCs w:val="24"/>
          <w:highlight w:val="none"/>
        </w:rPr>
        <w:t>，从业人员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万元，属于</w:t>
      </w:r>
      <w:r>
        <w:rPr>
          <w:rFonts w:hint="eastAsia" w:ascii="宋体" w:hAnsi="宋体"/>
          <w:color w:val="auto"/>
          <w:sz w:val="24"/>
          <w:szCs w:val="24"/>
          <w:highlight w:val="none"/>
          <w:u w:val="single"/>
        </w:rPr>
        <w:t>（中型企业、小型企业、微型企业</w:t>
      </w:r>
      <w:r>
        <w:rPr>
          <w:rFonts w:hint="eastAsia" w:ascii="宋体" w:hAnsi="宋体" w:cs="宋体"/>
          <w:i/>
          <w:iCs/>
          <w:color w:val="auto"/>
          <w:sz w:val="24"/>
          <w:highlight w:val="none"/>
          <w:u w:val="single"/>
        </w:rPr>
        <w:t>，三者选一填写</w:t>
      </w:r>
      <w:r>
        <w:rPr>
          <w:rFonts w:hint="eastAsia" w:ascii="宋体" w:hAnsi="宋体"/>
          <w:color w:val="auto"/>
          <w:sz w:val="24"/>
          <w:szCs w:val="24"/>
          <w:highlight w:val="none"/>
          <w:u w:val="single"/>
        </w:rPr>
        <w:t>）；</w:t>
      </w:r>
    </w:p>
    <w:p w14:paraId="4E680C13">
      <w:pPr>
        <w:numPr>
          <w:ilvl w:val="0"/>
          <w:numId w:val="9"/>
        </w:numPr>
        <w:spacing w:line="460" w:lineRule="exact"/>
        <w:ind w:firstLine="360"/>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  （标的名称）  </w:t>
      </w:r>
      <w:r>
        <w:rPr>
          <w:rFonts w:hint="eastAsia" w:ascii="宋体" w:hAnsi="宋体"/>
          <w:color w:val="auto"/>
          <w:sz w:val="24"/>
          <w:szCs w:val="24"/>
          <w:highlight w:val="none"/>
        </w:rPr>
        <w:t>，属于</w:t>
      </w:r>
      <w:r>
        <w:rPr>
          <w:rFonts w:hint="eastAsia" w:ascii="宋体" w:hAnsi="宋体"/>
          <w:color w:val="auto"/>
          <w:sz w:val="24"/>
          <w:szCs w:val="24"/>
          <w:highlight w:val="none"/>
          <w:u w:val="single"/>
        </w:rPr>
        <w:t xml:space="preserve">  （采购文件中明确的所属行业）  </w:t>
      </w:r>
      <w:r>
        <w:rPr>
          <w:rFonts w:hint="eastAsia" w:ascii="宋体" w:hAnsi="宋体"/>
          <w:color w:val="auto"/>
          <w:sz w:val="24"/>
          <w:szCs w:val="24"/>
          <w:highlight w:val="none"/>
        </w:rPr>
        <w:t>行业；制造商为</w:t>
      </w:r>
      <w:r>
        <w:rPr>
          <w:rFonts w:hint="eastAsia" w:ascii="宋体" w:hAnsi="宋体"/>
          <w:color w:val="auto"/>
          <w:sz w:val="24"/>
          <w:szCs w:val="24"/>
          <w:highlight w:val="none"/>
          <w:u w:val="single"/>
        </w:rPr>
        <w:t>（企业名称）</w:t>
      </w:r>
      <w:r>
        <w:rPr>
          <w:rFonts w:hint="eastAsia" w:ascii="宋体" w:hAnsi="宋体"/>
          <w:color w:val="auto"/>
          <w:sz w:val="24"/>
          <w:szCs w:val="24"/>
          <w:highlight w:val="none"/>
        </w:rPr>
        <w:t>，从业人员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万元，属于</w:t>
      </w:r>
      <w:r>
        <w:rPr>
          <w:rFonts w:hint="eastAsia" w:ascii="宋体" w:hAnsi="宋体"/>
          <w:color w:val="auto"/>
          <w:sz w:val="24"/>
          <w:szCs w:val="24"/>
          <w:highlight w:val="none"/>
          <w:u w:val="single"/>
        </w:rPr>
        <w:t>（中型企业、小型企业、微型企业</w:t>
      </w:r>
      <w:r>
        <w:rPr>
          <w:rFonts w:hint="eastAsia" w:ascii="宋体" w:hAnsi="宋体" w:cs="宋体"/>
          <w:i/>
          <w:iCs/>
          <w:color w:val="auto"/>
          <w:sz w:val="24"/>
          <w:highlight w:val="none"/>
          <w:u w:val="single"/>
        </w:rPr>
        <w:t>，三者选一填写</w:t>
      </w:r>
      <w:r>
        <w:rPr>
          <w:rFonts w:hint="eastAsia" w:ascii="宋体" w:hAnsi="宋体"/>
          <w:color w:val="auto"/>
          <w:sz w:val="24"/>
          <w:szCs w:val="24"/>
          <w:highlight w:val="none"/>
          <w:u w:val="single"/>
        </w:rPr>
        <w:t>）；</w:t>
      </w:r>
    </w:p>
    <w:p w14:paraId="0C976064">
      <w:pPr>
        <w:spacing w:line="460" w:lineRule="exact"/>
        <w:ind w:firstLine="360"/>
        <w:rPr>
          <w:rFonts w:hint="eastAsia" w:ascii="宋体" w:hAnsi="宋体"/>
          <w:i/>
          <w:color w:val="auto"/>
          <w:sz w:val="24"/>
          <w:szCs w:val="24"/>
          <w:highlight w:val="none"/>
          <w:u w:val="single"/>
        </w:rPr>
      </w:pPr>
      <w:r>
        <w:rPr>
          <w:rFonts w:hint="eastAsia" w:ascii="宋体" w:hAnsi="宋体"/>
          <w:color w:val="auto"/>
          <w:sz w:val="24"/>
          <w:szCs w:val="24"/>
          <w:highlight w:val="none"/>
        </w:rPr>
        <w:t>……</w:t>
      </w:r>
    </w:p>
    <w:p w14:paraId="6B23B48A">
      <w:pPr>
        <w:spacing w:line="4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以上企业，不属于大企业的分支机构，不存在控股股东为大企业的情形，也不存在与大企业的负责人为同一人的情形。</w:t>
      </w:r>
    </w:p>
    <w:p w14:paraId="7E6D53C4">
      <w:pPr>
        <w:spacing w:line="4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本企业对上述声明内容的真实性负责。如有虚假，将依法承担相应责任</w:t>
      </w:r>
    </w:p>
    <w:p w14:paraId="44D2F304">
      <w:pPr>
        <w:spacing w:line="460" w:lineRule="exact"/>
        <w:ind w:right="720"/>
        <w:rPr>
          <w:rFonts w:hint="eastAsia" w:ascii="宋体" w:hAnsi="宋体"/>
          <w:color w:val="auto"/>
          <w:sz w:val="24"/>
          <w:szCs w:val="24"/>
          <w:highlight w:val="none"/>
        </w:rPr>
      </w:pPr>
    </w:p>
    <w:p w14:paraId="41D9C18E">
      <w:pPr>
        <w:spacing w:line="460" w:lineRule="exact"/>
        <w:ind w:right="180" w:firstLine="360"/>
        <w:jc w:val="right"/>
        <w:rPr>
          <w:rFonts w:hint="eastAsia" w:ascii="宋体" w:hAnsi="宋体"/>
          <w:color w:val="auto"/>
          <w:sz w:val="24"/>
          <w:szCs w:val="24"/>
          <w:highlight w:val="none"/>
        </w:rPr>
      </w:pPr>
      <w:r>
        <w:rPr>
          <w:rFonts w:hint="eastAsia" w:ascii="宋体" w:hAnsi="宋体"/>
          <w:color w:val="auto"/>
          <w:sz w:val="24"/>
          <w:szCs w:val="24"/>
          <w:highlight w:val="none"/>
        </w:rPr>
        <w:t>企业名称（加盖CA电子签章或盖公章）：</w:t>
      </w:r>
    </w:p>
    <w:p w14:paraId="7D93F971">
      <w:pPr>
        <w:spacing w:line="460" w:lineRule="exact"/>
        <w:ind w:right="480" w:firstLine="5400"/>
        <w:rPr>
          <w:rFonts w:hint="eastAsia" w:ascii="宋体" w:hAnsi="宋体"/>
          <w:color w:val="auto"/>
          <w:sz w:val="24"/>
          <w:szCs w:val="24"/>
          <w:highlight w:val="none"/>
        </w:rPr>
      </w:pPr>
      <w:r>
        <w:rPr>
          <w:rFonts w:hint="eastAsia" w:ascii="宋体" w:hAnsi="宋体"/>
          <w:color w:val="auto"/>
          <w:sz w:val="24"/>
          <w:szCs w:val="24"/>
          <w:highlight w:val="none"/>
        </w:rPr>
        <w:t>日  期：</w:t>
      </w:r>
    </w:p>
    <w:p w14:paraId="602ED9F6">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备注:</w:t>
      </w:r>
    </w:p>
    <w:p w14:paraId="1ADAB3D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1.从业人员、营业收入、资产总额填报上一年度数据，无上一年度数据的新成立企业可不填报。</w:t>
      </w:r>
    </w:p>
    <w:p w14:paraId="508CEA7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如不提供此声明函，价格将不做相应扣除。</w:t>
      </w:r>
    </w:p>
    <w:p w14:paraId="38C5B2AF">
      <w:pPr>
        <w:pStyle w:val="45"/>
        <w:spacing w:beforeAutospacing="0" w:afterAutospacing="0" w:line="0" w:lineRule="atLeast"/>
        <w:jc w:val="center"/>
        <w:rPr>
          <w:rFonts w:hint="eastAsia" w:ascii="黑体" w:eastAsia="黑体" w:cs="黑体"/>
          <w:b/>
          <w:color w:val="auto"/>
          <w:sz w:val="32"/>
          <w:szCs w:val="32"/>
          <w:highlight w:val="none"/>
        </w:rPr>
      </w:pPr>
    </w:p>
    <w:p w14:paraId="38A875D8">
      <w:pPr>
        <w:pStyle w:val="45"/>
        <w:spacing w:beforeAutospacing="0" w:afterAutospacing="0" w:line="0" w:lineRule="atLeast"/>
        <w:jc w:val="center"/>
        <w:rPr>
          <w:rFonts w:hint="eastAsia" w:ascii="黑体" w:eastAsia="黑体" w:cs="黑体"/>
          <w:b/>
          <w:color w:val="auto"/>
          <w:sz w:val="32"/>
          <w:szCs w:val="32"/>
          <w:highlight w:val="none"/>
        </w:rPr>
      </w:pPr>
    </w:p>
    <w:p w14:paraId="491CEC1A">
      <w:pPr>
        <w:pStyle w:val="45"/>
        <w:spacing w:beforeAutospacing="0" w:afterAutospacing="0" w:line="0" w:lineRule="atLeast"/>
        <w:jc w:val="center"/>
        <w:rPr>
          <w:rFonts w:hint="eastAsia" w:ascii="黑体" w:eastAsia="黑体" w:cs="黑体"/>
          <w:b/>
          <w:color w:val="auto"/>
          <w:sz w:val="32"/>
          <w:szCs w:val="32"/>
          <w:highlight w:val="none"/>
        </w:rPr>
      </w:pPr>
    </w:p>
    <w:p w14:paraId="2B49014D">
      <w:pPr>
        <w:pStyle w:val="45"/>
        <w:spacing w:beforeAutospacing="0" w:afterAutospacing="0" w:line="0" w:lineRule="atLeast"/>
        <w:jc w:val="center"/>
        <w:rPr>
          <w:rFonts w:hint="eastAsia" w:ascii="黑体" w:eastAsia="黑体" w:cs="黑体"/>
          <w:b/>
          <w:color w:val="auto"/>
          <w:sz w:val="32"/>
          <w:szCs w:val="32"/>
          <w:highlight w:val="none"/>
        </w:rPr>
      </w:pPr>
    </w:p>
    <w:p w14:paraId="5EDF64B4">
      <w:pPr>
        <w:pStyle w:val="45"/>
        <w:spacing w:beforeAutospacing="0" w:afterAutospacing="0" w:line="0" w:lineRule="atLeast"/>
        <w:jc w:val="center"/>
        <w:rPr>
          <w:rFonts w:hint="eastAsia" w:ascii="黑体" w:eastAsia="黑体" w:cs="黑体"/>
          <w:b/>
          <w:color w:val="auto"/>
          <w:sz w:val="32"/>
          <w:szCs w:val="32"/>
          <w:highlight w:val="none"/>
        </w:rPr>
      </w:pPr>
    </w:p>
    <w:p w14:paraId="6BD0607E">
      <w:pPr>
        <w:pStyle w:val="45"/>
        <w:spacing w:beforeAutospacing="0" w:afterAutospacing="0" w:line="0" w:lineRule="atLeast"/>
        <w:jc w:val="center"/>
        <w:rPr>
          <w:rFonts w:hint="eastAsia" w:eastAsia="黑体"/>
          <w:i/>
          <w:iCs/>
          <w:color w:val="auto"/>
          <w:highlight w:val="none"/>
          <w:u w:val="single"/>
        </w:rPr>
      </w:pPr>
      <w:r>
        <w:rPr>
          <w:rFonts w:hint="eastAsia" w:ascii="黑体" w:eastAsia="黑体" w:cs="黑体"/>
          <w:b/>
          <w:i/>
          <w:iCs/>
          <w:color w:val="auto"/>
          <w:sz w:val="32"/>
          <w:szCs w:val="32"/>
          <w:highlight w:val="none"/>
          <w:u w:val="single"/>
        </w:rPr>
        <w:t>残疾人福利性单位声明函（如</w:t>
      </w:r>
      <w:r>
        <w:rPr>
          <w:rFonts w:hint="eastAsia" w:ascii="黑体" w:eastAsia="黑体" w:cs="黑体"/>
          <w:b/>
          <w:i/>
          <w:iCs/>
          <w:color w:val="auto"/>
          <w:sz w:val="32"/>
          <w:szCs w:val="32"/>
          <w:highlight w:val="none"/>
          <w:u w:val="single"/>
          <w:lang w:val="en-US" w:eastAsia="zh-CN"/>
        </w:rPr>
        <w:t>是</w:t>
      </w:r>
      <w:r>
        <w:rPr>
          <w:rFonts w:hint="eastAsia" w:ascii="黑体" w:eastAsia="黑体" w:cs="黑体"/>
          <w:b/>
          <w:i/>
          <w:iCs/>
          <w:color w:val="auto"/>
          <w:sz w:val="32"/>
          <w:szCs w:val="32"/>
          <w:highlight w:val="none"/>
          <w:u w:val="single"/>
        </w:rPr>
        <w:t>）</w:t>
      </w:r>
    </w:p>
    <w:p w14:paraId="2617A174">
      <w:pPr>
        <w:pStyle w:val="45"/>
        <w:spacing w:beforeAutospacing="0" w:afterAutospacing="0" w:line="360" w:lineRule="auto"/>
        <w:ind w:firstLine="480"/>
        <w:jc w:val="both"/>
        <w:rPr>
          <w:rFonts w:hint="eastAsia" w:cs="Times New Roman"/>
          <w:color w:val="auto"/>
          <w:highlight w:val="none"/>
        </w:rPr>
      </w:pPr>
    </w:p>
    <w:p w14:paraId="19F5E21A">
      <w:pPr>
        <w:pStyle w:val="45"/>
        <w:spacing w:beforeAutospacing="0" w:afterAutospacing="0" w:line="360" w:lineRule="auto"/>
        <w:ind w:firstLine="480"/>
        <w:jc w:val="both"/>
        <w:rPr>
          <w:rFonts w:hint="eastAsia" w:cs="Times New Roman"/>
          <w:color w:val="auto"/>
          <w:highlight w:val="none"/>
        </w:rPr>
      </w:pPr>
      <w:r>
        <w:rPr>
          <w:rFonts w:hint="eastAsia" w:cs="Times New Roman"/>
          <w:color w:val="auto"/>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cs="Times New Roman"/>
          <w:color w:val="auto"/>
          <w:highlight w:val="none"/>
          <w:u w:val="single"/>
        </w:rPr>
        <w:t xml:space="preserve"> </w:t>
      </w:r>
      <w:r>
        <w:rPr>
          <w:rFonts w:hint="eastAsia" w:cs="Times New Roman"/>
          <w:color w:val="auto"/>
          <w:highlight w:val="none"/>
          <w:u w:val="single"/>
          <w:lang w:eastAsia="zh-CN"/>
        </w:rPr>
        <w:t>阜宁县沟墩中心卫生院</w:t>
      </w:r>
      <w:r>
        <w:rPr>
          <w:rFonts w:hint="eastAsia" w:cs="Times New Roman"/>
          <w:color w:val="auto"/>
          <w:highlight w:val="none"/>
          <w:u w:val="single"/>
        </w:rPr>
        <w:t xml:space="preserve"> </w:t>
      </w:r>
      <w:r>
        <w:rPr>
          <w:rFonts w:hint="eastAsia" w:cs="Times New Roman"/>
          <w:color w:val="auto"/>
          <w:highlight w:val="none"/>
        </w:rPr>
        <w:t>单位的采购文件编号为______的</w:t>
      </w:r>
      <w:r>
        <w:rPr>
          <w:rFonts w:hint="eastAsia" w:cs="Times New Roman"/>
          <w:color w:val="auto"/>
          <w:highlight w:val="none"/>
          <w:u w:val="single"/>
        </w:rPr>
        <w:t xml:space="preserve">       </w:t>
      </w:r>
      <w:r>
        <w:rPr>
          <w:rFonts w:hint="eastAsia" w:cs="Times New Roman"/>
          <w:color w:val="auto"/>
          <w:highlight w:val="none"/>
        </w:rPr>
        <w:t>项目采购活动提供本单位制造的货物，或者提供其他残疾人福利性单位制造的货物（不包括使用非残疾人福利性单位注册商标的货物）。</w:t>
      </w:r>
    </w:p>
    <w:p w14:paraId="16362B82">
      <w:pPr>
        <w:pStyle w:val="45"/>
        <w:spacing w:beforeAutospacing="0" w:afterAutospacing="0" w:line="360" w:lineRule="auto"/>
        <w:ind w:firstLine="480"/>
        <w:jc w:val="both"/>
        <w:rPr>
          <w:rFonts w:hint="eastAsia"/>
          <w:color w:val="auto"/>
          <w:highlight w:val="none"/>
        </w:rPr>
      </w:pPr>
      <w:r>
        <w:rPr>
          <w:rFonts w:hint="eastAsia" w:cs="Times New Roman"/>
          <w:color w:val="auto"/>
          <w:highlight w:val="none"/>
        </w:rPr>
        <w:t>本单位对上述声明的真实性负责。如有虚假，将依法承担相应责任。</w:t>
      </w:r>
    </w:p>
    <w:p w14:paraId="2579907F">
      <w:pPr>
        <w:pStyle w:val="45"/>
        <w:spacing w:beforeAutospacing="0" w:afterAutospacing="0" w:line="360" w:lineRule="auto"/>
        <w:ind w:firstLine="480"/>
        <w:jc w:val="both"/>
        <w:rPr>
          <w:rFonts w:hint="eastAsia"/>
          <w:color w:val="auto"/>
          <w:highlight w:val="none"/>
        </w:rPr>
      </w:pPr>
      <w:r>
        <w:rPr>
          <w:color w:val="auto"/>
          <w:highlight w:val="none"/>
        </w:rPr>
        <w:t> </w:t>
      </w:r>
    </w:p>
    <w:p w14:paraId="6F9B8C4B">
      <w:pPr>
        <w:pStyle w:val="45"/>
        <w:spacing w:beforeAutospacing="0" w:afterAutospacing="0" w:line="360" w:lineRule="auto"/>
        <w:ind w:firstLine="480"/>
        <w:jc w:val="both"/>
        <w:rPr>
          <w:rFonts w:hint="eastAsia"/>
          <w:color w:val="auto"/>
          <w:highlight w:val="none"/>
        </w:rPr>
      </w:pPr>
      <w:r>
        <w:rPr>
          <w:rFonts w:hint="eastAsia"/>
          <w:color w:val="auto"/>
          <w:highlight w:val="none"/>
        </w:rPr>
        <w:t>备注：1、</w:t>
      </w:r>
      <w:r>
        <w:rPr>
          <w:rFonts w:hint="eastAsia"/>
          <w:color w:val="auto"/>
          <w:highlight w:val="none"/>
          <w:lang w:eastAsia="zh-CN"/>
        </w:rPr>
        <w:t>投标人</w:t>
      </w:r>
      <w:r>
        <w:rPr>
          <w:rFonts w:hint="eastAsia"/>
          <w:color w:val="auto"/>
          <w:highlight w:val="none"/>
        </w:rPr>
        <w:t>如不提供此声明函，价格将不做相应扣除（如项目全面面向中小企业，则资格审查不通过）。2、中标</w:t>
      </w:r>
      <w:r>
        <w:rPr>
          <w:rFonts w:hint="eastAsia"/>
          <w:color w:val="auto"/>
          <w:highlight w:val="none"/>
          <w:lang w:eastAsia="zh-CN"/>
        </w:rPr>
        <w:t>投标人</w:t>
      </w:r>
      <w:r>
        <w:rPr>
          <w:rFonts w:hint="eastAsia"/>
          <w:color w:val="auto"/>
          <w:highlight w:val="none"/>
        </w:rPr>
        <w:t>为残疾人福利单位的，此声明函将随中标结果同时公告，接受社会监督</w:t>
      </w:r>
    </w:p>
    <w:p w14:paraId="7783BC4C">
      <w:pPr>
        <w:pStyle w:val="45"/>
        <w:spacing w:beforeAutospacing="0" w:afterAutospacing="0" w:line="0" w:lineRule="atLeast"/>
        <w:ind w:firstLine="624"/>
        <w:jc w:val="both"/>
        <w:rPr>
          <w:rFonts w:hint="eastAsia"/>
          <w:color w:val="auto"/>
          <w:highlight w:val="none"/>
        </w:rPr>
      </w:pPr>
      <w:r>
        <w:rPr>
          <w:color w:val="auto"/>
          <w:highlight w:val="none"/>
        </w:rPr>
        <w:t> </w:t>
      </w:r>
    </w:p>
    <w:p w14:paraId="0BA1C4FC">
      <w:pPr>
        <w:pStyle w:val="45"/>
        <w:spacing w:beforeAutospacing="0" w:afterAutospacing="0" w:line="360" w:lineRule="auto"/>
        <w:ind w:firstLine="480"/>
        <w:jc w:val="both"/>
        <w:rPr>
          <w:rFonts w:hint="eastAsia" w:cs="Times New Roman"/>
          <w:color w:val="auto"/>
          <w:highlight w:val="none"/>
        </w:rPr>
      </w:pPr>
      <w:r>
        <w:rPr>
          <w:rFonts w:ascii="仿宋_GB2312" w:eastAsia="仿宋_GB2312" w:cs="仿宋_GB2312"/>
          <w:color w:val="auto"/>
          <w:sz w:val="30"/>
          <w:szCs w:val="30"/>
          <w:highlight w:val="none"/>
        </w:rPr>
        <w:t>  </w:t>
      </w:r>
      <w:r>
        <w:rPr>
          <w:rFonts w:hint="eastAsia" w:cs="Times New Roman"/>
          <w:color w:val="auto"/>
          <w:highlight w:val="none"/>
        </w:rPr>
        <w:t xml:space="preserve">         </w:t>
      </w:r>
    </w:p>
    <w:p w14:paraId="223A5342">
      <w:pPr>
        <w:pStyle w:val="45"/>
        <w:spacing w:beforeAutospacing="0" w:afterAutospacing="0" w:line="360" w:lineRule="auto"/>
        <w:ind w:firstLine="480"/>
        <w:jc w:val="both"/>
        <w:rPr>
          <w:rFonts w:hint="eastAsia" w:cs="Times New Roman"/>
          <w:color w:val="auto"/>
          <w:highlight w:val="none"/>
        </w:rPr>
      </w:pPr>
      <w:r>
        <w:rPr>
          <w:rFonts w:hint="eastAsia" w:cs="Times New Roman"/>
          <w:color w:val="auto"/>
          <w:highlight w:val="none"/>
        </w:rPr>
        <w:t xml:space="preserve">                            投标人全称：（加盖CA电子签章或盖公章）</w:t>
      </w:r>
    </w:p>
    <w:p w14:paraId="74245C35">
      <w:pPr>
        <w:pStyle w:val="45"/>
        <w:spacing w:beforeAutospacing="0" w:afterAutospacing="0" w:line="360" w:lineRule="auto"/>
        <w:ind w:firstLine="480"/>
        <w:jc w:val="both"/>
        <w:rPr>
          <w:rFonts w:hint="eastAsia" w:cs="Times New Roman"/>
          <w:color w:val="auto"/>
          <w:highlight w:val="none"/>
        </w:rPr>
      </w:pPr>
      <w:r>
        <w:rPr>
          <w:rFonts w:hint="eastAsia" w:cs="Times New Roman"/>
          <w:color w:val="auto"/>
          <w:highlight w:val="none"/>
        </w:rPr>
        <w:t>                            日  期：</w:t>
      </w:r>
    </w:p>
    <w:p w14:paraId="7DA4BFEA">
      <w:pPr>
        <w:spacing w:line="360" w:lineRule="auto"/>
        <w:ind w:firstLine="1440"/>
        <w:rPr>
          <w:rFonts w:hint="eastAsia" w:ascii="宋体" w:hAnsi="宋体"/>
          <w:color w:val="auto"/>
          <w:sz w:val="24"/>
          <w:szCs w:val="24"/>
          <w:highlight w:val="none"/>
        </w:rPr>
      </w:pPr>
      <w:r>
        <w:rPr>
          <w:rFonts w:hint="eastAsia" w:ascii="宋体" w:hAnsi="宋体"/>
          <w:color w:val="auto"/>
          <w:sz w:val="24"/>
          <w:szCs w:val="24"/>
          <w:highlight w:val="none"/>
        </w:rPr>
        <w:t> </w:t>
      </w:r>
    </w:p>
    <w:p w14:paraId="4C554829">
      <w:pPr>
        <w:spacing w:line="360" w:lineRule="auto"/>
        <w:ind w:firstLine="1440"/>
        <w:rPr>
          <w:rFonts w:hint="eastAsia" w:ascii="宋体" w:hAnsi="宋体"/>
          <w:color w:val="auto"/>
          <w:sz w:val="24"/>
          <w:szCs w:val="24"/>
          <w:highlight w:val="none"/>
        </w:rPr>
      </w:pPr>
    </w:p>
    <w:p w14:paraId="4052D128">
      <w:pPr>
        <w:spacing w:line="360" w:lineRule="auto"/>
        <w:ind w:firstLine="1928"/>
        <w:rPr>
          <w:rFonts w:hint="eastAsia" w:ascii="黑体" w:hAnsi="宋体" w:eastAsia="黑体" w:cs="黑体"/>
          <w:b/>
          <w:i/>
          <w:iCs/>
          <w:color w:val="auto"/>
          <w:sz w:val="32"/>
          <w:szCs w:val="32"/>
          <w:highlight w:val="none"/>
          <w:u w:val="single"/>
          <w:lang w:val="en-US" w:eastAsia="zh-CN" w:bidi="ar-SA"/>
        </w:rPr>
      </w:pPr>
      <w:r>
        <w:rPr>
          <w:rFonts w:hint="eastAsia" w:ascii="黑体" w:hAnsi="宋体" w:eastAsia="黑体" w:cs="黑体"/>
          <w:b/>
          <w:i/>
          <w:iCs/>
          <w:color w:val="auto"/>
          <w:sz w:val="32"/>
          <w:szCs w:val="32"/>
          <w:highlight w:val="none"/>
          <w:u w:val="single"/>
          <w:lang w:val="en-US" w:eastAsia="zh-CN" w:bidi="ar-SA"/>
        </w:rPr>
        <w:t>属于监狱企业的证明文件（如是）</w:t>
      </w:r>
    </w:p>
    <w:p w14:paraId="14A75762">
      <w:pPr>
        <w:widowControl/>
        <w:spacing w:line="500" w:lineRule="exact"/>
        <w:ind w:firstLine="560"/>
        <w:jc w:val="left"/>
        <w:rPr>
          <w:rFonts w:hint="eastAsia" w:ascii="宋体" w:hAnsi="宋体" w:cs="Arial"/>
          <w:color w:val="auto"/>
          <w:sz w:val="28"/>
          <w:szCs w:val="28"/>
          <w:highlight w:val="none"/>
        </w:rPr>
      </w:pPr>
      <w:r>
        <w:rPr>
          <w:rFonts w:ascii="宋体" w:hAnsi="宋体" w:cs="Arial"/>
          <w:color w:val="auto"/>
          <w:sz w:val="28"/>
          <w:szCs w:val="28"/>
          <w:highlight w:val="none"/>
        </w:rPr>
        <w:t>提供由省级以上监狱管理局、戒毒管理局(含新疆生产建设兵团)出具的属于监狱企业的证明文件</w:t>
      </w:r>
    </w:p>
    <w:p w14:paraId="33A272C1">
      <w:pPr>
        <w:pStyle w:val="45"/>
        <w:spacing w:beforeAutospacing="0" w:afterAutospacing="0" w:line="360" w:lineRule="auto"/>
        <w:ind w:firstLine="480"/>
        <w:jc w:val="both"/>
        <w:rPr>
          <w:rFonts w:hint="eastAsia" w:cs="Times New Roman"/>
          <w:color w:val="auto"/>
          <w:highlight w:val="none"/>
        </w:rPr>
      </w:pPr>
    </w:p>
    <w:p w14:paraId="0EB8DF04">
      <w:pPr>
        <w:pStyle w:val="315"/>
        <w:widowControl/>
        <w:tabs>
          <w:tab w:val="left" w:pos="180"/>
        </w:tabs>
        <w:spacing w:after="0" w:line="460" w:lineRule="exact"/>
        <w:jc w:val="both"/>
        <w:rPr>
          <w:rFonts w:hint="eastAsia" w:ascii="黑体" w:hAnsi="宋体" w:eastAsia="黑体" w:cs="黑体"/>
          <w:b/>
          <w:i/>
          <w:iCs/>
          <w:color w:val="auto"/>
          <w:sz w:val="32"/>
          <w:szCs w:val="32"/>
          <w:highlight w:val="none"/>
          <w:u w:val="single"/>
          <w:lang w:val="en-US" w:eastAsia="zh-CN" w:bidi="ar-SA"/>
        </w:rPr>
      </w:pPr>
      <w:r>
        <w:rPr>
          <w:rFonts w:ascii="黑体" w:hAnsi="黑体" w:eastAsia="黑体"/>
          <w:b/>
          <w:color w:val="auto"/>
          <w:sz w:val="32"/>
          <w:szCs w:val="32"/>
          <w:highlight w:val="none"/>
        </w:rPr>
        <w:br w:type="page" w:clear="all"/>
      </w:r>
      <w:bookmarkStart w:id="187" w:name="_Hlt26955054"/>
      <w:bookmarkEnd w:id="187"/>
      <w:r>
        <w:rPr>
          <w:rFonts w:hint="eastAsia" w:ascii="黑体" w:hAnsi="黑体" w:eastAsia="黑体"/>
          <w:b/>
          <w:color w:val="auto"/>
          <w:sz w:val="32"/>
          <w:szCs w:val="32"/>
          <w:highlight w:val="none"/>
          <w:lang w:val="en-US" w:eastAsia="zh-CN"/>
        </w:rPr>
        <w:t xml:space="preserve">       </w:t>
      </w:r>
      <w:r>
        <w:rPr>
          <w:rFonts w:hint="eastAsia" w:ascii="黑体" w:hAnsi="宋体" w:eastAsia="黑体" w:cs="黑体"/>
          <w:b/>
          <w:i/>
          <w:iCs/>
          <w:color w:val="auto"/>
          <w:sz w:val="32"/>
          <w:szCs w:val="32"/>
          <w:highlight w:val="none"/>
          <w:u w:val="single"/>
          <w:lang w:val="en-US" w:eastAsia="zh-CN" w:bidi="ar-SA"/>
        </w:rPr>
        <w:t>十二、商务要求响应及偏离表</w:t>
      </w:r>
    </w:p>
    <w:tbl>
      <w:tblPr>
        <w:tblStyle w:val="51"/>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3"/>
        <w:gridCol w:w="3053"/>
        <w:gridCol w:w="2617"/>
        <w:gridCol w:w="1543"/>
        <w:gridCol w:w="1173"/>
      </w:tblGrid>
      <w:tr w14:paraId="5B1AF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83" w:type="dxa"/>
            <w:noWrap w:val="0"/>
            <w:vAlign w:val="center"/>
          </w:tcPr>
          <w:p w14:paraId="57843003">
            <w:pPr>
              <w:jc w:val="center"/>
              <w:rPr>
                <w:rFonts w:hint="eastAsia" w:ascii="宋体" w:hAnsi="宋体"/>
                <w:color w:val="auto"/>
                <w:sz w:val="24"/>
                <w:szCs w:val="24"/>
                <w:highlight w:val="none"/>
              </w:rPr>
            </w:pPr>
            <w:bookmarkStart w:id="188" w:name="_Hlt26671343"/>
            <w:bookmarkEnd w:id="188"/>
            <w:bookmarkStart w:id="189" w:name="_Hlt26609391"/>
            <w:bookmarkEnd w:id="189"/>
            <w:bookmarkStart w:id="190" w:name="_Hlt26782999"/>
            <w:bookmarkEnd w:id="190"/>
            <w:bookmarkStart w:id="191" w:name="_Hlt24879081"/>
            <w:bookmarkEnd w:id="191"/>
            <w:bookmarkStart w:id="192" w:name="_Hlt26671372"/>
            <w:bookmarkEnd w:id="192"/>
            <w:bookmarkStart w:id="193" w:name="_Hlt26955064"/>
            <w:bookmarkEnd w:id="193"/>
            <w:bookmarkStart w:id="194" w:name="_Hlt26955056"/>
            <w:bookmarkEnd w:id="194"/>
            <w:bookmarkStart w:id="195" w:name="_Hlt26580838"/>
            <w:bookmarkEnd w:id="195"/>
            <w:r>
              <w:rPr>
                <w:rFonts w:hint="eastAsia" w:ascii="宋体" w:hAnsi="宋体"/>
                <w:color w:val="auto"/>
                <w:sz w:val="24"/>
                <w:szCs w:val="24"/>
                <w:highlight w:val="none"/>
              </w:rPr>
              <w:t>序号</w:t>
            </w:r>
          </w:p>
        </w:tc>
        <w:tc>
          <w:tcPr>
            <w:tcW w:w="3053" w:type="dxa"/>
            <w:noWrap w:val="0"/>
            <w:vAlign w:val="center"/>
          </w:tcPr>
          <w:p w14:paraId="7A140F3F">
            <w:pPr>
              <w:jc w:val="center"/>
              <w:rPr>
                <w:rFonts w:hint="eastAsia" w:ascii="宋体" w:hAnsi="宋体"/>
                <w:color w:val="auto"/>
                <w:sz w:val="24"/>
                <w:szCs w:val="24"/>
                <w:highlight w:val="none"/>
              </w:rPr>
            </w:pPr>
            <w:r>
              <w:rPr>
                <w:rFonts w:hint="eastAsia" w:ascii="宋体" w:hAnsi="宋体"/>
                <w:color w:val="auto"/>
                <w:sz w:val="24"/>
                <w:szCs w:val="24"/>
                <w:highlight w:val="none"/>
              </w:rPr>
              <w:t>招标文件要求</w:t>
            </w:r>
          </w:p>
        </w:tc>
        <w:tc>
          <w:tcPr>
            <w:tcW w:w="2617" w:type="dxa"/>
            <w:noWrap w:val="0"/>
            <w:vAlign w:val="center"/>
          </w:tcPr>
          <w:p w14:paraId="7E008F92">
            <w:pPr>
              <w:jc w:val="center"/>
              <w:rPr>
                <w:rFonts w:hint="eastAsia" w:ascii="宋体" w:hAnsi="宋体"/>
                <w:color w:val="auto"/>
                <w:sz w:val="24"/>
                <w:szCs w:val="24"/>
                <w:highlight w:val="none"/>
              </w:rPr>
            </w:pPr>
            <w:r>
              <w:rPr>
                <w:rFonts w:hint="eastAsia" w:ascii="宋体" w:hAnsi="宋体"/>
                <w:color w:val="auto"/>
                <w:sz w:val="24"/>
                <w:szCs w:val="24"/>
                <w:highlight w:val="none"/>
              </w:rPr>
              <w:t>投标响应情况</w:t>
            </w:r>
          </w:p>
        </w:tc>
        <w:tc>
          <w:tcPr>
            <w:tcW w:w="1543" w:type="dxa"/>
            <w:noWrap w:val="0"/>
            <w:vAlign w:val="center"/>
          </w:tcPr>
          <w:p w14:paraId="31F4C30F">
            <w:pPr>
              <w:jc w:val="center"/>
              <w:rPr>
                <w:rFonts w:hint="eastAsia" w:ascii="宋体" w:hAnsi="宋体"/>
                <w:color w:val="auto"/>
                <w:sz w:val="24"/>
                <w:szCs w:val="24"/>
                <w:highlight w:val="none"/>
              </w:rPr>
            </w:pPr>
            <w:r>
              <w:rPr>
                <w:rFonts w:hint="eastAsia" w:ascii="宋体" w:hAnsi="宋体"/>
                <w:color w:val="auto"/>
                <w:sz w:val="24"/>
                <w:szCs w:val="24"/>
                <w:highlight w:val="none"/>
              </w:rPr>
              <w:t>超出、符合或偏离</w:t>
            </w:r>
          </w:p>
        </w:tc>
        <w:tc>
          <w:tcPr>
            <w:tcW w:w="1173" w:type="dxa"/>
            <w:noWrap w:val="0"/>
            <w:vAlign w:val="center"/>
          </w:tcPr>
          <w:p w14:paraId="12A5980C">
            <w:pPr>
              <w:jc w:val="center"/>
              <w:rPr>
                <w:rFonts w:hint="eastAsia" w:ascii="宋体" w:hAnsi="宋体"/>
                <w:color w:val="auto"/>
                <w:sz w:val="24"/>
                <w:szCs w:val="24"/>
                <w:highlight w:val="none"/>
              </w:rPr>
            </w:pPr>
            <w:r>
              <w:rPr>
                <w:rFonts w:hint="eastAsia" w:ascii="宋体" w:hAnsi="宋体"/>
                <w:color w:val="auto"/>
                <w:sz w:val="24"/>
                <w:szCs w:val="24"/>
                <w:highlight w:val="none"/>
              </w:rPr>
              <w:t>证明</w:t>
            </w:r>
          </w:p>
          <w:p w14:paraId="09E31A04">
            <w:pPr>
              <w:jc w:val="center"/>
              <w:rPr>
                <w:rFonts w:hint="eastAsia" w:ascii="宋体" w:hAnsi="宋体"/>
                <w:color w:val="auto"/>
                <w:sz w:val="24"/>
                <w:szCs w:val="24"/>
                <w:highlight w:val="none"/>
              </w:rPr>
            </w:pPr>
            <w:r>
              <w:rPr>
                <w:rFonts w:hint="eastAsia" w:ascii="宋体" w:hAnsi="宋体"/>
                <w:color w:val="auto"/>
                <w:sz w:val="24"/>
                <w:szCs w:val="24"/>
                <w:highlight w:val="none"/>
              </w:rPr>
              <w:t>材料</w:t>
            </w:r>
          </w:p>
        </w:tc>
      </w:tr>
      <w:tr w14:paraId="09181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83" w:type="dxa"/>
            <w:noWrap w:val="0"/>
            <w:vAlign w:val="center"/>
          </w:tcPr>
          <w:p w14:paraId="647A8792">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1</w:t>
            </w:r>
          </w:p>
        </w:tc>
        <w:tc>
          <w:tcPr>
            <w:tcW w:w="3053" w:type="dxa"/>
            <w:noWrap w:val="0"/>
            <w:vAlign w:val="center"/>
          </w:tcPr>
          <w:p w14:paraId="199858E2">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履行期限</w:t>
            </w:r>
          </w:p>
        </w:tc>
        <w:tc>
          <w:tcPr>
            <w:tcW w:w="2617" w:type="dxa"/>
            <w:noWrap w:val="0"/>
            <w:vAlign w:val="center"/>
          </w:tcPr>
          <w:p w14:paraId="1E17B18E">
            <w:pPr>
              <w:jc w:val="center"/>
              <w:rPr>
                <w:rFonts w:hint="eastAsia" w:ascii="宋体" w:hAnsi="宋体"/>
                <w:color w:val="auto"/>
                <w:sz w:val="24"/>
                <w:szCs w:val="24"/>
                <w:highlight w:val="none"/>
              </w:rPr>
            </w:pPr>
          </w:p>
        </w:tc>
        <w:tc>
          <w:tcPr>
            <w:tcW w:w="1543" w:type="dxa"/>
            <w:noWrap w:val="0"/>
            <w:vAlign w:val="center"/>
          </w:tcPr>
          <w:p w14:paraId="66548884">
            <w:pPr>
              <w:jc w:val="center"/>
              <w:rPr>
                <w:rFonts w:hint="eastAsia" w:ascii="宋体" w:hAnsi="宋体"/>
                <w:color w:val="auto"/>
                <w:sz w:val="24"/>
                <w:szCs w:val="24"/>
                <w:highlight w:val="none"/>
              </w:rPr>
            </w:pPr>
          </w:p>
        </w:tc>
        <w:tc>
          <w:tcPr>
            <w:tcW w:w="1173" w:type="dxa"/>
            <w:noWrap w:val="0"/>
            <w:vAlign w:val="center"/>
          </w:tcPr>
          <w:p w14:paraId="2A69971B">
            <w:pPr>
              <w:jc w:val="center"/>
              <w:rPr>
                <w:rFonts w:hint="eastAsia" w:ascii="宋体" w:hAnsi="宋体"/>
                <w:color w:val="auto"/>
                <w:sz w:val="24"/>
                <w:szCs w:val="24"/>
                <w:highlight w:val="none"/>
              </w:rPr>
            </w:pPr>
          </w:p>
        </w:tc>
      </w:tr>
      <w:tr w14:paraId="6BC7E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83" w:type="dxa"/>
            <w:noWrap w:val="0"/>
            <w:vAlign w:val="center"/>
          </w:tcPr>
          <w:p w14:paraId="03ED58E1">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2</w:t>
            </w:r>
          </w:p>
        </w:tc>
        <w:tc>
          <w:tcPr>
            <w:tcW w:w="3053" w:type="dxa"/>
            <w:noWrap w:val="0"/>
            <w:vAlign w:val="center"/>
          </w:tcPr>
          <w:p w14:paraId="0037F932">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投标有效期</w:t>
            </w:r>
          </w:p>
        </w:tc>
        <w:tc>
          <w:tcPr>
            <w:tcW w:w="2617" w:type="dxa"/>
            <w:noWrap w:val="0"/>
            <w:vAlign w:val="center"/>
          </w:tcPr>
          <w:p w14:paraId="7B9F677C">
            <w:pPr>
              <w:jc w:val="center"/>
              <w:rPr>
                <w:rFonts w:hint="eastAsia" w:ascii="宋体" w:hAnsi="宋体"/>
                <w:color w:val="auto"/>
                <w:sz w:val="24"/>
                <w:szCs w:val="24"/>
                <w:highlight w:val="none"/>
              </w:rPr>
            </w:pPr>
          </w:p>
        </w:tc>
        <w:tc>
          <w:tcPr>
            <w:tcW w:w="1543" w:type="dxa"/>
            <w:noWrap w:val="0"/>
            <w:vAlign w:val="center"/>
          </w:tcPr>
          <w:p w14:paraId="06490B48">
            <w:pPr>
              <w:jc w:val="center"/>
              <w:rPr>
                <w:rFonts w:hint="eastAsia" w:ascii="宋体" w:hAnsi="宋体"/>
                <w:color w:val="auto"/>
                <w:sz w:val="24"/>
                <w:szCs w:val="24"/>
                <w:highlight w:val="none"/>
              </w:rPr>
            </w:pPr>
          </w:p>
        </w:tc>
        <w:tc>
          <w:tcPr>
            <w:tcW w:w="1173" w:type="dxa"/>
            <w:noWrap w:val="0"/>
            <w:vAlign w:val="center"/>
          </w:tcPr>
          <w:p w14:paraId="2A5B8032">
            <w:pPr>
              <w:jc w:val="center"/>
              <w:rPr>
                <w:rFonts w:hint="eastAsia" w:ascii="宋体" w:hAnsi="宋体"/>
                <w:color w:val="auto"/>
                <w:sz w:val="24"/>
                <w:szCs w:val="24"/>
                <w:highlight w:val="none"/>
              </w:rPr>
            </w:pPr>
          </w:p>
        </w:tc>
      </w:tr>
      <w:tr w14:paraId="306F4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83" w:type="dxa"/>
            <w:noWrap w:val="0"/>
            <w:vAlign w:val="center"/>
          </w:tcPr>
          <w:p w14:paraId="48354DF9">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3</w:t>
            </w:r>
          </w:p>
        </w:tc>
        <w:tc>
          <w:tcPr>
            <w:tcW w:w="3053" w:type="dxa"/>
            <w:noWrap w:val="0"/>
            <w:vAlign w:val="center"/>
          </w:tcPr>
          <w:p w14:paraId="7068397A">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履行地点</w:t>
            </w:r>
          </w:p>
        </w:tc>
        <w:tc>
          <w:tcPr>
            <w:tcW w:w="2617" w:type="dxa"/>
            <w:noWrap w:val="0"/>
            <w:vAlign w:val="center"/>
          </w:tcPr>
          <w:p w14:paraId="5B998350">
            <w:pPr>
              <w:jc w:val="center"/>
              <w:rPr>
                <w:rFonts w:hint="eastAsia" w:ascii="宋体" w:hAnsi="宋体"/>
                <w:color w:val="auto"/>
                <w:sz w:val="24"/>
                <w:szCs w:val="24"/>
                <w:highlight w:val="none"/>
              </w:rPr>
            </w:pPr>
          </w:p>
        </w:tc>
        <w:tc>
          <w:tcPr>
            <w:tcW w:w="1543" w:type="dxa"/>
            <w:noWrap w:val="0"/>
            <w:vAlign w:val="center"/>
          </w:tcPr>
          <w:p w14:paraId="781B3FE0">
            <w:pPr>
              <w:jc w:val="center"/>
              <w:rPr>
                <w:rFonts w:hint="eastAsia" w:ascii="宋体" w:hAnsi="宋体"/>
                <w:color w:val="auto"/>
                <w:sz w:val="24"/>
                <w:szCs w:val="24"/>
                <w:highlight w:val="none"/>
              </w:rPr>
            </w:pPr>
          </w:p>
        </w:tc>
        <w:tc>
          <w:tcPr>
            <w:tcW w:w="1173" w:type="dxa"/>
            <w:noWrap w:val="0"/>
            <w:vAlign w:val="center"/>
          </w:tcPr>
          <w:p w14:paraId="6AC1F57A">
            <w:pPr>
              <w:jc w:val="center"/>
              <w:rPr>
                <w:rFonts w:hint="eastAsia" w:ascii="宋体" w:hAnsi="宋体"/>
                <w:color w:val="auto"/>
                <w:sz w:val="24"/>
                <w:szCs w:val="24"/>
                <w:highlight w:val="none"/>
              </w:rPr>
            </w:pPr>
          </w:p>
        </w:tc>
      </w:tr>
      <w:tr w14:paraId="27D4B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83" w:type="dxa"/>
            <w:noWrap w:val="0"/>
            <w:vAlign w:val="center"/>
          </w:tcPr>
          <w:p w14:paraId="047A8B6C">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4</w:t>
            </w:r>
          </w:p>
        </w:tc>
        <w:tc>
          <w:tcPr>
            <w:tcW w:w="3053" w:type="dxa"/>
            <w:noWrap w:val="0"/>
            <w:vAlign w:val="center"/>
          </w:tcPr>
          <w:p w14:paraId="5D1A0FC8">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付款方式</w:t>
            </w:r>
          </w:p>
        </w:tc>
        <w:tc>
          <w:tcPr>
            <w:tcW w:w="2617" w:type="dxa"/>
            <w:noWrap w:val="0"/>
            <w:vAlign w:val="center"/>
          </w:tcPr>
          <w:p w14:paraId="721A7343">
            <w:pPr>
              <w:jc w:val="center"/>
              <w:rPr>
                <w:rFonts w:hint="eastAsia" w:ascii="宋体" w:hAnsi="宋体"/>
                <w:color w:val="auto"/>
                <w:sz w:val="24"/>
                <w:szCs w:val="24"/>
                <w:highlight w:val="none"/>
              </w:rPr>
            </w:pPr>
          </w:p>
        </w:tc>
        <w:tc>
          <w:tcPr>
            <w:tcW w:w="1543" w:type="dxa"/>
            <w:noWrap w:val="0"/>
            <w:vAlign w:val="center"/>
          </w:tcPr>
          <w:p w14:paraId="0A287605">
            <w:pPr>
              <w:jc w:val="center"/>
              <w:rPr>
                <w:rFonts w:hint="eastAsia" w:ascii="宋体" w:hAnsi="宋体"/>
                <w:color w:val="auto"/>
                <w:sz w:val="24"/>
                <w:szCs w:val="24"/>
                <w:highlight w:val="none"/>
              </w:rPr>
            </w:pPr>
          </w:p>
        </w:tc>
        <w:tc>
          <w:tcPr>
            <w:tcW w:w="1173" w:type="dxa"/>
            <w:noWrap w:val="0"/>
            <w:vAlign w:val="center"/>
          </w:tcPr>
          <w:p w14:paraId="456F6BF3">
            <w:pPr>
              <w:jc w:val="center"/>
              <w:rPr>
                <w:rFonts w:hint="eastAsia" w:ascii="宋体" w:hAnsi="宋体"/>
                <w:color w:val="auto"/>
                <w:sz w:val="24"/>
                <w:szCs w:val="24"/>
                <w:highlight w:val="none"/>
              </w:rPr>
            </w:pPr>
          </w:p>
        </w:tc>
      </w:tr>
      <w:tr w14:paraId="07F6E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83" w:type="dxa"/>
            <w:noWrap w:val="0"/>
            <w:vAlign w:val="center"/>
          </w:tcPr>
          <w:p w14:paraId="5DA8E9E1">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5</w:t>
            </w:r>
          </w:p>
        </w:tc>
        <w:tc>
          <w:tcPr>
            <w:tcW w:w="3053" w:type="dxa"/>
            <w:noWrap w:val="0"/>
            <w:vAlign w:val="center"/>
          </w:tcPr>
          <w:p w14:paraId="6A266D46">
            <w:pPr>
              <w:jc w:val="center"/>
              <w:rPr>
                <w:rFonts w:hint="eastAsia" w:ascii="宋体" w:hAnsi="宋体" w:eastAsia="宋体"/>
                <w:color w:val="auto"/>
                <w:sz w:val="24"/>
                <w:szCs w:val="24"/>
                <w:highlight w:val="none"/>
                <w:lang w:val="en-US" w:eastAsia="zh-CN"/>
              </w:rPr>
            </w:pPr>
            <w:r>
              <w:rPr>
                <w:rFonts w:ascii="宋体" w:hAnsi="宋体"/>
                <w:color w:val="auto"/>
                <w:sz w:val="24"/>
                <w:szCs w:val="24"/>
                <w:highlight w:val="none"/>
              </w:rPr>
              <w:t>……</w:t>
            </w:r>
          </w:p>
        </w:tc>
        <w:tc>
          <w:tcPr>
            <w:tcW w:w="2617" w:type="dxa"/>
            <w:noWrap w:val="0"/>
            <w:vAlign w:val="center"/>
          </w:tcPr>
          <w:p w14:paraId="56885B2C">
            <w:pPr>
              <w:jc w:val="center"/>
              <w:rPr>
                <w:rFonts w:hint="eastAsia" w:ascii="宋体" w:hAnsi="宋体"/>
                <w:color w:val="auto"/>
                <w:sz w:val="24"/>
                <w:szCs w:val="24"/>
                <w:highlight w:val="none"/>
              </w:rPr>
            </w:pPr>
          </w:p>
        </w:tc>
        <w:tc>
          <w:tcPr>
            <w:tcW w:w="1543" w:type="dxa"/>
            <w:noWrap w:val="0"/>
            <w:vAlign w:val="center"/>
          </w:tcPr>
          <w:p w14:paraId="7693149C">
            <w:pPr>
              <w:jc w:val="center"/>
              <w:rPr>
                <w:rFonts w:hint="eastAsia" w:ascii="宋体" w:hAnsi="宋体"/>
                <w:color w:val="auto"/>
                <w:sz w:val="24"/>
                <w:szCs w:val="24"/>
                <w:highlight w:val="none"/>
              </w:rPr>
            </w:pPr>
          </w:p>
        </w:tc>
        <w:tc>
          <w:tcPr>
            <w:tcW w:w="1173" w:type="dxa"/>
            <w:noWrap w:val="0"/>
            <w:vAlign w:val="center"/>
          </w:tcPr>
          <w:p w14:paraId="1099C8EC">
            <w:pPr>
              <w:jc w:val="center"/>
              <w:rPr>
                <w:rFonts w:hint="eastAsia" w:ascii="宋体" w:hAnsi="宋体"/>
                <w:color w:val="auto"/>
                <w:sz w:val="24"/>
                <w:szCs w:val="24"/>
                <w:highlight w:val="none"/>
              </w:rPr>
            </w:pPr>
          </w:p>
        </w:tc>
      </w:tr>
      <w:tr w14:paraId="7B4D7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83" w:type="dxa"/>
            <w:noWrap w:val="0"/>
            <w:vAlign w:val="center"/>
          </w:tcPr>
          <w:p w14:paraId="7C9F3732">
            <w:pPr>
              <w:jc w:val="center"/>
              <w:rPr>
                <w:rFonts w:hint="eastAsia" w:ascii="宋体" w:hAnsi="宋体" w:eastAsia="宋体"/>
                <w:color w:val="auto"/>
                <w:sz w:val="24"/>
                <w:szCs w:val="24"/>
                <w:highlight w:val="none"/>
                <w:lang w:val="en-US" w:eastAsia="zh-CN"/>
              </w:rPr>
            </w:pPr>
          </w:p>
        </w:tc>
        <w:tc>
          <w:tcPr>
            <w:tcW w:w="3053" w:type="dxa"/>
            <w:noWrap w:val="0"/>
            <w:vAlign w:val="center"/>
          </w:tcPr>
          <w:p w14:paraId="7E61FEC0">
            <w:pPr>
              <w:jc w:val="center"/>
              <w:rPr>
                <w:rFonts w:hint="eastAsia" w:ascii="宋体" w:hAnsi="宋体"/>
                <w:color w:val="auto"/>
                <w:sz w:val="24"/>
                <w:szCs w:val="24"/>
                <w:highlight w:val="none"/>
              </w:rPr>
            </w:pPr>
          </w:p>
        </w:tc>
        <w:tc>
          <w:tcPr>
            <w:tcW w:w="2617" w:type="dxa"/>
            <w:noWrap w:val="0"/>
            <w:vAlign w:val="center"/>
          </w:tcPr>
          <w:p w14:paraId="6BB94412">
            <w:pPr>
              <w:jc w:val="center"/>
              <w:rPr>
                <w:rFonts w:hint="eastAsia" w:ascii="宋体" w:hAnsi="宋体"/>
                <w:color w:val="auto"/>
                <w:sz w:val="24"/>
                <w:szCs w:val="24"/>
                <w:highlight w:val="none"/>
              </w:rPr>
            </w:pPr>
          </w:p>
        </w:tc>
        <w:tc>
          <w:tcPr>
            <w:tcW w:w="1543" w:type="dxa"/>
            <w:noWrap w:val="0"/>
            <w:vAlign w:val="center"/>
          </w:tcPr>
          <w:p w14:paraId="10212648">
            <w:pPr>
              <w:jc w:val="center"/>
              <w:rPr>
                <w:rFonts w:hint="eastAsia" w:ascii="宋体" w:hAnsi="宋体"/>
                <w:color w:val="auto"/>
                <w:sz w:val="24"/>
                <w:szCs w:val="24"/>
                <w:highlight w:val="none"/>
              </w:rPr>
            </w:pPr>
          </w:p>
        </w:tc>
        <w:tc>
          <w:tcPr>
            <w:tcW w:w="1173" w:type="dxa"/>
            <w:noWrap w:val="0"/>
            <w:vAlign w:val="center"/>
          </w:tcPr>
          <w:p w14:paraId="1CAB4E57">
            <w:pPr>
              <w:jc w:val="center"/>
              <w:rPr>
                <w:rFonts w:hint="eastAsia" w:ascii="宋体" w:hAnsi="宋体"/>
                <w:color w:val="auto"/>
                <w:sz w:val="24"/>
                <w:szCs w:val="24"/>
                <w:highlight w:val="none"/>
              </w:rPr>
            </w:pPr>
          </w:p>
        </w:tc>
      </w:tr>
      <w:tr w14:paraId="4078C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83" w:type="dxa"/>
            <w:noWrap w:val="0"/>
            <w:vAlign w:val="center"/>
          </w:tcPr>
          <w:p w14:paraId="4711806A">
            <w:pPr>
              <w:jc w:val="center"/>
              <w:rPr>
                <w:rFonts w:hint="eastAsia" w:ascii="宋体" w:hAnsi="宋体"/>
                <w:color w:val="auto"/>
                <w:sz w:val="24"/>
                <w:szCs w:val="24"/>
                <w:highlight w:val="none"/>
              </w:rPr>
            </w:pPr>
          </w:p>
        </w:tc>
        <w:tc>
          <w:tcPr>
            <w:tcW w:w="3053" w:type="dxa"/>
            <w:noWrap w:val="0"/>
            <w:vAlign w:val="center"/>
          </w:tcPr>
          <w:p w14:paraId="4073C4B7">
            <w:pPr>
              <w:jc w:val="center"/>
              <w:rPr>
                <w:rFonts w:hint="eastAsia" w:ascii="宋体" w:hAnsi="宋体"/>
                <w:color w:val="auto"/>
                <w:sz w:val="24"/>
                <w:szCs w:val="24"/>
                <w:highlight w:val="none"/>
              </w:rPr>
            </w:pPr>
          </w:p>
        </w:tc>
        <w:tc>
          <w:tcPr>
            <w:tcW w:w="2617" w:type="dxa"/>
            <w:noWrap w:val="0"/>
            <w:vAlign w:val="center"/>
          </w:tcPr>
          <w:p w14:paraId="5F200749">
            <w:pPr>
              <w:jc w:val="center"/>
              <w:rPr>
                <w:rFonts w:hint="eastAsia" w:ascii="宋体" w:hAnsi="宋体"/>
                <w:color w:val="auto"/>
                <w:sz w:val="24"/>
                <w:szCs w:val="24"/>
                <w:highlight w:val="none"/>
              </w:rPr>
            </w:pPr>
          </w:p>
        </w:tc>
        <w:tc>
          <w:tcPr>
            <w:tcW w:w="1543" w:type="dxa"/>
            <w:noWrap w:val="0"/>
            <w:vAlign w:val="center"/>
          </w:tcPr>
          <w:p w14:paraId="5E43F557">
            <w:pPr>
              <w:jc w:val="center"/>
              <w:rPr>
                <w:rFonts w:hint="eastAsia" w:ascii="宋体" w:hAnsi="宋体"/>
                <w:color w:val="auto"/>
                <w:sz w:val="24"/>
                <w:szCs w:val="24"/>
                <w:highlight w:val="none"/>
              </w:rPr>
            </w:pPr>
          </w:p>
        </w:tc>
        <w:tc>
          <w:tcPr>
            <w:tcW w:w="1173" w:type="dxa"/>
            <w:noWrap w:val="0"/>
            <w:vAlign w:val="center"/>
          </w:tcPr>
          <w:p w14:paraId="49A2AB84">
            <w:pPr>
              <w:jc w:val="center"/>
              <w:rPr>
                <w:rFonts w:hint="eastAsia" w:ascii="宋体" w:hAnsi="宋体"/>
                <w:color w:val="auto"/>
                <w:sz w:val="24"/>
                <w:szCs w:val="24"/>
                <w:highlight w:val="none"/>
              </w:rPr>
            </w:pPr>
          </w:p>
        </w:tc>
      </w:tr>
      <w:tr w14:paraId="3879E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83" w:type="dxa"/>
            <w:noWrap w:val="0"/>
            <w:vAlign w:val="center"/>
          </w:tcPr>
          <w:p w14:paraId="19D043A1">
            <w:pPr>
              <w:jc w:val="center"/>
              <w:rPr>
                <w:rFonts w:hint="eastAsia" w:ascii="宋体" w:hAnsi="宋体"/>
                <w:color w:val="auto"/>
                <w:sz w:val="24"/>
                <w:szCs w:val="24"/>
                <w:highlight w:val="none"/>
              </w:rPr>
            </w:pPr>
          </w:p>
        </w:tc>
        <w:tc>
          <w:tcPr>
            <w:tcW w:w="3053" w:type="dxa"/>
            <w:noWrap w:val="0"/>
            <w:vAlign w:val="center"/>
          </w:tcPr>
          <w:p w14:paraId="2CB3A7A2">
            <w:pPr>
              <w:jc w:val="center"/>
              <w:rPr>
                <w:rFonts w:hint="eastAsia" w:ascii="宋体" w:hAnsi="宋体"/>
                <w:color w:val="auto"/>
                <w:sz w:val="24"/>
                <w:szCs w:val="24"/>
                <w:highlight w:val="none"/>
              </w:rPr>
            </w:pPr>
          </w:p>
        </w:tc>
        <w:tc>
          <w:tcPr>
            <w:tcW w:w="2617" w:type="dxa"/>
            <w:noWrap w:val="0"/>
            <w:vAlign w:val="center"/>
          </w:tcPr>
          <w:p w14:paraId="43C81CCC">
            <w:pPr>
              <w:jc w:val="center"/>
              <w:rPr>
                <w:rFonts w:hint="eastAsia" w:ascii="宋体" w:hAnsi="宋体"/>
                <w:color w:val="auto"/>
                <w:sz w:val="24"/>
                <w:szCs w:val="24"/>
                <w:highlight w:val="none"/>
              </w:rPr>
            </w:pPr>
          </w:p>
        </w:tc>
        <w:tc>
          <w:tcPr>
            <w:tcW w:w="1543" w:type="dxa"/>
            <w:noWrap w:val="0"/>
            <w:vAlign w:val="center"/>
          </w:tcPr>
          <w:p w14:paraId="356DD316">
            <w:pPr>
              <w:jc w:val="center"/>
              <w:rPr>
                <w:rFonts w:hint="eastAsia" w:ascii="宋体" w:hAnsi="宋体"/>
                <w:color w:val="auto"/>
                <w:sz w:val="24"/>
                <w:szCs w:val="24"/>
                <w:highlight w:val="none"/>
              </w:rPr>
            </w:pPr>
          </w:p>
        </w:tc>
        <w:tc>
          <w:tcPr>
            <w:tcW w:w="1173" w:type="dxa"/>
            <w:noWrap w:val="0"/>
            <w:vAlign w:val="center"/>
          </w:tcPr>
          <w:p w14:paraId="220CE636">
            <w:pPr>
              <w:jc w:val="center"/>
              <w:rPr>
                <w:rFonts w:hint="eastAsia" w:ascii="宋体" w:hAnsi="宋体"/>
                <w:color w:val="auto"/>
                <w:sz w:val="24"/>
                <w:szCs w:val="24"/>
                <w:highlight w:val="none"/>
              </w:rPr>
            </w:pPr>
          </w:p>
        </w:tc>
      </w:tr>
    </w:tbl>
    <w:p w14:paraId="5749823A">
      <w:pPr>
        <w:rPr>
          <w:rFonts w:hint="eastAsia" w:ascii="宋体" w:hAnsi="宋体"/>
          <w:color w:val="auto"/>
          <w:sz w:val="24"/>
          <w:szCs w:val="24"/>
          <w:highlight w:val="none"/>
        </w:rPr>
      </w:pPr>
    </w:p>
    <w:p w14:paraId="2B172AAC">
      <w:pPr>
        <w:rPr>
          <w:rFonts w:hint="eastAsia" w:ascii="宋体" w:hAnsi="宋体"/>
          <w:color w:val="auto"/>
          <w:sz w:val="24"/>
          <w:szCs w:val="24"/>
          <w:highlight w:val="none"/>
        </w:rPr>
      </w:pPr>
      <w:r>
        <w:rPr>
          <w:rFonts w:hint="eastAsia" w:ascii="宋体" w:hAnsi="宋体"/>
          <w:color w:val="auto"/>
          <w:sz w:val="24"/>
          <w:szCs w:val="24"/>
          <w:highlight w:val="none"/>
        </w:rPr>
        <w:t>注： 行数不够，可自行添加。</w:t>
      </w:r>
    </w:p>
    <w:p w14:paraId="77EBC823">
      <w:pPr>
        <w:spacing w:line="480" w:lineRule="auto"/>
        <w:rPr>
          <w:rFonts w:hint="eastAsia" w:ascii="宋体" w:hAnsi="宋体"/>
          <w:color w:val="auto"/>
          <w:sz w:val="24"/>
          <w:szCs w:val="21"/>
          <w:highlight w:val="none"/>
        </w:rPr>
      </w:pPr>
    </w:p>
    <w:p w14:paraId="23278D56">
      <w:pPr>
        <w:rPr>
          <w:rFonts w:hint="eastAsia" w:ascii="宋体" w:hAnsi="宋体"/>
          <w:color w:val="auto"/>
          <w:sz w:val="28"/>
          <w:szCs w:val="28"/>
          <w:highlight w:val="none"/>
        </w:rPr>
      </w:pPr>
      <w:r>
        <w:rPr>
          <w:rFonts w:hint="eastAsia" w:ascii="宋体" w:hAnsi="宋体"/>
          <w:color w:val="auto"/>
          <w:sz w:val="28"/>
          <w:szCs w:val="28"/>
          <w:highlight w:val="none"/>
        </w:rPr>
        <w:t>  我方承诺，除上表中的偏离外，完全响应招标文件的其他条款。</w:t>
      </w:r>
    </w:p>
    <w:p w14:paraId="52BA011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57F5F645">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auto"/>
          <w:sz w:val="24"/>
          <w:highlight w:val="none"/>
        </w:rPr>
      </w:pPr>
    </w:p>
    <w:p w14:paraId="6DAE91A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auto"/>
          <w:sz w:val="24"/>
          <w:highlight w:val="none"/>
        </w:rPr>
      </w:pPr>
    </w:p>
    <w:p w14:paraId="592C0F0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投标人全称：</w:t>
      </w:r>
      <w:r>
        <w:rPr>
          <w:rFonts w:ascii="宋体" w:hAnsi="宋体" w:cs="宋体"/>
          <w:color w:val="auto"/>
          <w:sz w:val="24"/>
          <w:highlight w:val="none"/>
          <w:u w:val="single"/>
        </w:rPr>
        <w:t>（加盖CA电子签章或盖公章）</w:t>
      </w:r>
    </w:p>
    <w:p w14:paraId="6B4AB368">
      <w:pPr>
        <w:pBdr>
          <w:top w:val="none" w:color="000000" w:sz="0" w:space="0"/>
          <w:left w:val="none" w:color="000000" w:sz="0" w:space="0"/>
          <w:bottom w:val="none" w:color="000000" w:sz="0" w:space="0"/>
          <w:right w:val="none" w:color="000000" w:sz="0" w:space="0"/>
        </w:pBdr>
        <w:spacing w:line="85" w:lineRule="atLeast"/>
        <w:ind w:left="3840" w:hanging="3840"/>
        <w:rPr>
          <w:color w:val="auto"/>
          <w:highlight w:val="none"/>
        </w:rPr>
      </w:pPr>
      <w:r>
        <w:rPr>
          <w:rFonts w:ascii="宋体" w:hAnsi="宋体" w:cs="宋体"/>
          <w:color w:val="auto"/>
          <w:sz w:val="24"/>
          <w:highlight w:val="none"/>
        </w:rPr>
        <w:t>                                      日期：</w:t>
      </w:r>
      <w:r>
        <w:rPr>
          <w:rFonts w:ascii="宋体" w:hAnsi="宋体" w:cs="宋体"/>
          <w:color w:val="auto"/>
          <w:sz w:val="24"/>
          <w:highlight w:val="none"/>
          <w:u w:val="single"/>
        </w:rPr>
        <w:t>             </w:t>
      </w:r>
    </w:p>
    <w:p w14:paraId="3D0F3525">
      <w:pPr>
        <w:spacing w:line="480" w:lineRule="auto"/>
        <w:rPr>
          <w:rFonts w:ascii="仿宋_GB2312" w:hAnsi="Arial"/>
          <w:color w:val="auto"/>
          <w:sz w:val="30"/>
          <w:szCs w:val="21"/>
          <w:highlight w:val="none"/>
        </w:rPr>
      </w:pPr>
    </w:p>
    <w:p w14:paraId="0AA5F3BD">
      <w:pPr>
        <w:rPr>
          <w:rFonts w:hint="eastAsia" w:ascii="宋体" w:hAnsi="宋体"/>
          <w:color w:val="auto"/>
          <w:sz w:val="24"/>
          <w:szCs w:val="21"/>
          <w:highlight w:val="none"/>
        </w:rPr>
      </w:pPr>
      <w:bookmarkStart w:id="196" w:name="_Hlt26609389"/>
      <w:bookmarkEnd w:id="196"/>
      <w:bookmarkStart w:id="197" w:name="_Toc462564146"/>
      <w:bookmarkEnd w:id="197"/>
      <w:bookmarkStart w:id="198" w:name="_Hlt26955066"/>
      <w:bookmarkEnd w:id="198"/>
      <w:bookmarkStart w:id="199" w:name="_Hlt26671374"/>
      <w:bookmarkEnd w:id="199"/>
    </w:p>
    <w:p w14:paraId="6B5CE05F">
      <w:pPr>
        <w:jc w:val="center"/>
        <w:rPr>
          <w:rFonts w:hint="eastAsia" w:ascii="黑体" w:hAnsi="黑体" w:eastAsia="黑体"/>
          <w:b/>
          <w:color w:val="auto"/>
          <w:sz w:val="32"/>
          <w:szCs w:val="32"/>
          <w:highlight w:val="none"/>
        </w:rPr>
      </w:pPr>
      <w:bookmarkStart w:id="200" w:name="_格式2__法定代表人授权书"/>
      <w:bookmarkEnd w:id="200"/>
    </w:p>
    <w:p w14:paraId="7DA7F896">
      <w:pPr>
        <w:jc w:val="center"/>
        <w:rPr>
          <w:rFonts w:hint="eastAsia" w:ascii="黑体" w:hAnsi="黑体" w:eastAsia="黑体"/>
          <w:b/>
          <w:color w:val="auto"/>
          <w:sz w:val="32"/>
          <w:szCs w:val="32"/>
          <w:highlight w:val="none"/>
        </w:rPr>
      </w:pPr>
    </w:p>
    <w:p w14:paraId="006585E1">
      <w:pPr>
        <w:jc w:val="center"/>
        <w:rPr>
          <w:rFonts w:hint="eastAsia" w:ascii="黑体" w:hAnsi="黑体" w:eastAsia="黑体"/>
          <w:b/>
          <w:color w:val="auto"/>
          <w:sz w:val="32"/>
          <w:szCs w:val="32"/>
          <w:highlight w:val="none"/>
        </w:rPr>
      </w:pPr>
    </w:p>
    <w:p w14:paraId="22586409">
      <w:pPr>
        <w:jc w:val="center"/>
        <w:rPr>
          <w:rFonts w:hint="eastAsia" w:ascii="黑体" w:hAnsi="黑体" w:eastAsia="黑体"/>
          <w:b/>
          <w:color w:val="auto"/>
          <w:sz w:val="32"/>
          <w:szCs w:val="32"/>
          <w:highlight w:val="none"/>
        </w:rPr>
      </w:pPr>
    </w:p>
    <w:p w14:paraId="323304F8">
      <w:pPr>
        <w:jc w:val="center"/>
        <w:rPr>
          <w:rFonts w:hint="eastAsia" w:ascii="黑体" w:hAnsi="黑体" w:eastAsia="黑体"/>
          <w:b/>
          <w:color w:val="auto"/>
          <w:sz w:val="32"/>
          <w:szCs w:val="32"/>
          <w:highlight w:val="none"/>
        </w:rPr>
      </w:pPr>
    </w:p>
    <w:p w14:paraId="376025A3">
      <w:pPr>
        <w:jc w:val="center"/>
        <w:rPr>
          <w:rFonts w:hint="eastAsia" w:ascii="黑体" w:hAnsi="黑体" w:eastAsia="黑体"/>
          <w:b/>
          <w:color w:val="auto"/>
          <w:sz w:val="32"/>
          <w:szCs w:val="32"/>
          <w:highlight w:val="none"/>
        </w:rPr>
      </w:pPr>
    </w:p>
    <w:p w14:paraId="419A69F6">
      <w:pPr>
        <w:jc w:val="center"/>
        <w:rPr>
          <w:rFonts w:hint="eastAsia" w:ascii="黑体" w:hAnsi="黑体" w:eastAsia="黑体"/>
          <w:b/>
          <w:color w:val="auto"/>
          <w:sz w:val="32"/>
          <w:szCs w:val="32"/>
          <w:highlight w:val="none"/>
        </w:rPr>
      </w:pPr>
    </w:p>
    <w:p w14:paraId="3A808623">
      <w:pPr>
        <w:rPr>
          <w:rFonts w:hint="eastAsia" w:ascii="黑体" w:hAnsi="黑体" w:eastAsia="黑体"/>
          <w:b/>
          <w:color w:val="auto"/>
          <w:sz w:val="32"/>
          <w:szCs w:val="32"/>
          <w:highlight w:val="none"/>
        </w:rPr>
      </w:pPr>
    </w:p>
    <w:p w14:paraId="7F53B0FC">
      <w:pPr>
        <w:jc w:val="center"/>
        <w:rPr>
          <w:rFonts w:hint="eastAsia" w:ascii="黑体" w:hAnsi="黑体" w:eastAsia="黑体"/>
          <w:b/>
          <w:bCs/>
          <w:color w:val="auto"/>
          <w:sz w:val="32"/>
          <w:szCs w:val="32"/>
          <w:highlight w:val="none"/>
        </w:rPr>
      </w:pPr>
    </w:p>
    <w:p w14:paraId="2C462F9D">
      <w:pPr>
        <w:spacing w:line="360" w:lineRule="auto"/>
        <w:jc w:val="center"/>
        <w:rPr>
          <w:rFonts w:hint="eastAsia" w:ascii="宋体" w:hAnsi="宋体" w:cs="新宋体"/>
          <w:b/>
          <w:iCs/>
          <w:color w:val="auto"/>
          <w:sz w:val="36"/>
          <w:szCs w:val="36"/>
          <w:highlight w:val="none"/>
        </w:rPr>
      </w:pPr>
      <w:r>
        <w:rPr>
          <w:rFonts w:hint="eastAsia" w:ascii="宋体" w:hAnsi="宋体" w:cs="新宋体"/>
          <w:b/>
          <w:iCs/>
          <w:color w:val="auto"/>
          <w:sz w:val="36"/>
          <w:szCs w:val="36"/>
          <w:highlight w:val="none"/>
        </w:rPr>
        <w:t>十</w:t>
      </w:r>
      <w:r>
        <w:rPr>
          <w:rFonts w:hint="eastAsia" w:ascii="宋体" w:hAnsi="宋体" w:cs="新宋体"/>
          <w:b/>
          <w:iCs/>
          <w:color w:val="auto"/>
          <w:sz w:val="36"/>
          <w:szCs w:val="36"/>
          <w:highlight w:val="none"/>
          <w:lang w:val="en-US" w:eastAsia="zh-CN"/>
        </w:rPr>
        <w:t>三</w:t>
      </w:r>
      <w:r>
        <w:rPr>
          <w:rFonts w:hint="eastAsia" w:ascii="宋体" w:hAnsi="宋体" w:cs="新宋体"/>
          <w:b/>
          <w:iCs/>
          <w:color w:val="auto"/>
          <w:sz w:val="36"/>
          <w:szCs w:val="36"/>
          <w:highlight w:val="none"/>
        </w:rPr>
        <w:t>、技术方案</w:t>
      </w:r>
    </w:p>
    <w:p w14:paraId="52A56761">
      <w:pPr>
        <w:spacing w:line="360" w:lineRule="auto"/>
        <w:jc w:val="center"/>
        <w:rPr>
          <w:rFonts w:hint="eastAsia" w:ascii="黑体" w:hAnsi="黑体" w:eastAsia="黑体"/>
          <w:b/>
          <w:color w:val="auto"/>
          <w:sz w:val="32"/>
          <w:szCs w:val="32"/>
          <w:highlight w:val="none"/>
        </w:rPr>
      </w:pPr>
      <w:r>
        <w:rPr>
          <w:rStyle w:val="323"/>
          <w:rFonts w:ascii="宋体" w:hAnsi="宋体"/>
          <w:color w:val="auto"/>
          <w:sz w:val="30"/>
          <w:szCs w:val="30"/>
          <w:highlight w:val="none"/>
        </w:rPr>
        <w:t>（根据项目需求和评标办法自行编制，格式自拟）；</w:t>
      </w:r>
    </w:p>
    <w:p w14:paraId="46FDBA88">
      <w:pPr>
        <w:pStyle w:val="50"/>
        <w:rPr>
          <w:rFonts w:hint="eastAsia" w:ascii="黑体" w:hAnsi="黑体" w:eastAsia="黑体"/>
          <w:b/>
          <w:color w:val="auto"/>
          <w:sz w:val="32"/>
          <w:szCs w:val="32"/>
          <w:highlight w:val="none"/>
        </w:rPr>
      </w:pPr>
    </w:p>
    <w:p w14:paraId="2016C1DD">
      <w:pPr>
        <w:pStyle w:val="50"/>
        <w:rPr>
          <w:rFonts w:hint="eastAsia" w:ascii="黑体" w:hAnsi="黑体" w:eastAsia="黑体"/>
          <w:b/>
          <w:color w:val="auto"/>
          <w:sz w:val="32"/>
          <w:szCs w:val="32"/>
          <w:highlight w:val="none"/>
        </w:rPr>
      </w:pPr>
    </w:p>
    <w:p w14:paraId="11964FB0">
      <w:pPr>
        <w:rPr>
          <w:rFonts w:hint="eastAsia" w:ascii="黑体" w:hAnsi="黑体" w:eastAsia="黑体"/>
          <w:b/>
          <w:color w:val="auto"/>
          <w:sz w:val="32"/>
          <w:szCs w:val="32"/>
          <w:highlight w:val="none"/>
        </w:rPr>
      </w:pPr>
    </w:p>
    <w:p w14:paraId="19439570">
      <w:pPr>
        <w:pStyle w:val="50"/>
        <w:rPr>
          <w:rFonts w:hint="eastAsia"/>
          <w:color w:val="auto"/>
          <w:highlight w:val="none"/>
        </w:rPr>
      </w:pPr>
    </w:p>
    <w:p w14:paraId="7D161AFF">
      <w:pPr>
        <w:spacing w:line="460" w:lineRule="exact"/>
        <w:jc w:val="center"/>
        <w:rPr>
          <w:rFonts w:hint="eastAsia" w:ascii="黑体" w:hAnsi="黑体" w:eastAsia="黑体"/>
          <w:b/>
          <w:color w:val="auto"/>
          <w:sz w:val="32"/>
          <w:szCs w:val="32"/>
          <w:highlight w:val="none"/>
        </w:rPr>
      </w:pPr>
      <w:r>
        <w:rPr>
          <w:rFonts w:ascii="黑体" w:hAnsi="黑体" w:eastAsia="黑体"/>
          <w:b/>
          <w:iCs/>
          <w:color w:val="auto"/>
          <w:sz w:val="32"/>
          <w:szCs w:val="32"/>
          <w:highlight w:val="none"/>
        </w:rPr>
        <w:br w:type="page" w:clear="all"/>
      </w:r>
    </w:p>
    <w:p w14:paraId="4F6FAD8D">
      <w:pPr>
        <w:spacing w:line="360" w:lineRule="auto"/>
        <w:jc w:val="center"/>
        <w:rPr>
          <w:rFonts w:hint="eastAsia" w:ascii="宋体" w:hAnsi="宋体" w:cs="新宋体"/>
          <w:b/>
          <w:iCs/>
          <w:color w:val="auto"/>
          <w:sz w:val="36"/>
          <w:szCs w:val="36"/>
          <w:highlight w:val="none"/>
        </w:rPr>
      </w:pPr>
      <w:r>
        <w:rPr>
          <w:rFonts w:hint="eastAsia" w:ascii="宋体" w:hAnsi="宋体" w:cs="新宋体"/>
          <w:b/>
          <w:iCs/>
          <w:color w:val="auto"/>
          <w:sz w:val="36"/>
          <w:szCs w:val="36"/>
          <w:highlight w:val="none"/>
        </w:rPr>
        <w:t>十</w:t>
      </w:r>
      <w:r>
        <w:rPr>
          <w:rFonts w:hint="eastAsia" w:ascii="宋体" w:hAnsi="宋体" w:cs="新宋体"/>
          <w:b/>
          <w:iCs/>
          <w:color w:val="auto"/>
          <w:sz w:val="36"/>
          <w:szCs w:val="36"/>
          <w:highlight w:val="none"/>
          <w:lang w:val="en-US" w:eastAsia="zh-CN"/>
        </w:rPr>
        <w:t>四</w:t>
      </w:r>
      <w:r>
        <w:rPr>
          <w:rFonts w:hint="eastAsia" w:ascii="宋体" w:hAnsi="宋体" w:cs="新宋体"/>
          <w:b/>
          <w:iCs/>
          <w:color w:val="auto"/>
          <w:sz w:val="36"/>
          <w:szCs w:val="36"/>
          <w:highlight w:val="none"/>
        </w:rPr>
        <w:t>、服务承诺</w:t>
      </w:r>
    </w:p>
    <w:p w14:paraId="31D5E60C">
      <w:pPr>
        <w:spacing w:line="460" w:lineRule="exact"/>
        <w:ind w:firstLine="562"/>
        <w:rPr>
          <w:rFonts w:ascii="仿宋_GB2312" w:eastAsia="仿宋_GB2312"/>
          <w:b/>
          <w:bCs/>
          <w:color w:val="auto"/>
          <w:sz w:val="28"/>
          <w:highlight w:val="none"/>
        </w:rPr>
      </w:pPr>
    </w:p>
    <w:p w14:paraId="076FC003">
      <w:pPr>
        <w:pStyle w:val="45"/>
        <w:spacing w:beforeAutospacing="0" w:afterAutospacing="0" w:line="360" w:lineRule="auto"/>
        <w:ind w:firstLine="480"/>
        <w:jc w:val="both"/>
        <w:rPr>
          <w:rFonts w:hint="eastAsia" w:cs="Times New Roman"/>
          <w:color w:val="auto"/>
          <w:highlight w:val="none"/>
        </w:rPr>
      </w:pPr>
      <w:r>
        <w:rPr>
          <w:rFonts w:hint="eastAsia" w:cs="Times New Roman"/>
          <w:color w:val="auto"/>
          <w:highlight w:val="none"/>
        </w:rPr>
        <w:t>一、招标文件规定的服务承诺</w:t>
      </w:r>
    </w:p>
    <w:p w14:paraId="75A5466B">
      <w:pPr>
        <w:pStyle w:val="45"/>
        <w:spacing w:beforeAutospacing="0" w:afterAutospacing="0" w:line="360" w:lineRule="auto"/>
        <w:ind w:firstLine="480"/>
        <w:jc w:val="both"/>
        <w:rPr>
          <w:rFonts w:hint="eastAsia" w:cs="Times New Roman"/>
          <w:color w:val="auto"/>
          <w:highlight w:val="none"/>
        </w:rPr>
      </w:pPr>
      <w:r>
        <w:rPr>
          <w:rFonts w:hint="eastAsia" w:cs="Times New Roman"/>
          <w:color w:val="auto"/>
          <w:highlight w:val="none"/>
        </w:rPr>
        <w:t>承诺完全响应“</w:t>
      </w:r>
      <w:r>
        <w:rPr>
          <w:rFonts w:hint="eastAsia" w:cs="Times New Roman"/>
          <w:color w:val="auto"/>
          <w:highlight w:val="none"/>
          <w:lang w:eastAsia="zh-CN"/>
        </w:rPr>
        <w:t>阜宁县沟墩中心卫生院CT维保项目</w:t>
      </w:r>
      <w:r>
        <w:rPr>
          <w:rFonts w:hint="eastAsia" w:cs="Times New Roman"/>
          <w:color w:val="auto"/>
          <w:highlight w:val="none"/>
        </w:rPr>
        <w:t>”招标文件所有规定采购及服务范围内的全部内容，以及为完成上述内容所必须的质量保证与技术支持、指导服务以及相关附属工作、临时工作、售后服务以及付款方式、权利和义务、违约责任的规定和要求，完全响应招标文件规定的标准服务承诺。</w:t>
      </w:r>
    </w:p>
    <w:p w14:paraId="058B42CA">
      <w:pPr>
        <w:pStyle w:val="45"/>
        <w:spacing w:beforeAutospacing="0" w:afterAutospacing="0" w:line="360" w:lineRule="auto"/>
        <w:ind w:firstLine="480"/>
        <w:jc w:val="both"/>
        <w:rPr>
          <w:rFonts w:hint="eastAsia" w:cs="Times New Roman"/>
          <w:color w:val="auto"/>
          <w:highlight w:val="none"/>
        </w:rPr>
      </w:pPr>
      <w:r>
        <w:rPr>
          <w:rFonts w:hint="eastAsia" w:cs="Times New Roman"/>
          <w:color w:val="auto"/>
          <w:highlight w:val="none"/>
        </w:rPr>
        <w:t>二、</w:t>
      </w:r>
      <w:r>
        <w:rPr>
          <w:rFonts w:hint="eastAsia" w:cs="Times New Roman"/>
          <w:color w:val="auto"/>
          <w:highlight w:val="none"/>
          <w:lang w:eastAsia="zh-CN"/>
        </w:rPr>
        <w:t>投标人</w:t>
      </w:r>
      <w:r>
        <w:rPr>
          <w:rFonts w:hint="eastAsia" w:cs="Times New Roman"/>
          <w:color w:val="auto"/>
          <w:highlight w:val="none"/>
        </w:rPr>
        <w:t>针对本采购项目的特殊服务承诺</w:t>
      </w:r>
    </w:p>
    <w:p w14:paraId="5BCB032E">
      <w:pPr>
        <w:pStyle w:val="45"/>
        <w:spacing w:beforeAutospacing="0" w:afterAutospacing="0" w:line="360" w:lineRule="auto"/>
        <w:ind w:firstLine="480"/>
        <w:jc w:val="both"/>
        <w:rPr>
          <w:rFonts w:hint="eastAsia" w:cs="Times New Roman"/>
          <w:color w:val="auto"/>
          <w:highlight w:val="none"/>
        </w:rPr>
      </w:pPr>
      <w:r>
        <w:rPr>
          <w:rFonts w:hint="eastAsia" w:cs="Times New Roman"/>
          <w:color w:val="auto"/>
          <w:highlight w:val="none"/>
        </w:rPr>
        <w:t>1、</w:t>
      </w:r>
    </w:p>
    <w:p w14:paraId="2DFCC271">
      <w:pPr>
        <w:pStyle w:val="45"/>
        <w:spacing w:beforeAutospacing="0" w:afterAutospacing="0" w:line="360" w:lineRule="auto"/>
        <w:ind w:firstLine="480"/>
        <w:jc w:val="both"/>
        <w:rPr>
          <w:rFonts w:hint="eastAsia" w:cs="Times New Roman"/>
          <w:color w:val="auto"/>
          <w:highlight w:val="none"/>
        </w:rPr>
      </w:pPr>
      <w:r>
        <w:rPr>
          <w:rFonts w:hint="eastAsia" w:cs="Times New Roman"/>
          <w:color w:val="auto"/>
          <w:highlight w:val="none"/>
        </w:rPr>
        <w:t>2、</w:t>
      </w:r>
    </w:p>
    <w:p w14:paraId="6874BCDE">
      <w:pPr>
        <w:pStyle w:val="45"/>
        <w:spacing w:beforeAutospacing="0" w:afterAutospacing="0" w:line="360" w:lineRule="auto"/>
        <w:ind w:firstLine="480"/>
        <w:jc w:val="both"/>
        <w:rPr>
          <w:rFonts w:hint="eastAsia" w:cs="Times New Roman"/>
          <w:color w:val="auto"/>
          <w:highlight w:val="none"/>
        </w:rPr>
      </w:pPr>
      <w:r>
        <w:rPr>
          <w:rFonts w:hint="eastAsia" w:cs="Times New Roman"/>
          <w:color w:val="auto"/>
          <w:highlight w:val="none"/>
        </w:rPr>
        <w:t>……</w:t>
      </w:r>
    </w:p>
    <w:p w14:paraId="5B04FDFE">
      <w:pPr>
        <w:pStyle w:val="45"/>
        <w:spacing w:beforeAutospacing="0" w:afterAutospacing="0" w:line="360" w:lineRule="auto"/>
        <w:ind w:firstLine="480"/>
        <w:jc w:val="both"/>
        <w:rPr>
          <w:rFonts w:hint="eastAsia" w:cs="Times New Roman"/>
          <w:color w:val="auto"/>
          <w:highlight w:val="none"/>
          <w:u w:val="single"/>
        </w:rPr>
      </w:pPr>
    </w:p>
    <w:p w14:paraId="1E1E83AC">
      <w:pPr>
        <w:spacing w:line="460" w:lineRule="exact"/>
        <w:ind w:firstLine="2520"/>
        <w:rPr>
          <w:rFonts w:hint="eastAsia" w:ascii="宋体" w:hAnsi="宋体"/>
          <w:color w:val="auto"/>
          <w:sz w:val="28"/>
          <w:szCs w:val="28"/>
          <w:highlight w:val="none"/>
        </w:rPr>
      </w:pPr>
    </w:p>
    <w:p w14:paraId="4822A199">
      <w:pPr>
        <w:spacing w:line="480" w:lineRule="exact"/>
        <w:ind w:firstLine="562"/>
        <w:rPr>
          <w:rFonts w:hint="eastAsia" w:ascii="宋体" w:hAnsi="宋体"/>
          <w:b/>
          <w:bCs/>
          <w:color w:val="auto"/>
          <w:sz w:val="28"/>
          <w:szCs w:val="28"/>
          <w:highlight w:val="none"/>
        </w:rPr>
      </w:pPr>
    </w:p>
    <w:p w14:paraId="5EDD9572">
      <w:pPr>
        <w:jc w:val="center"/>
        <w:rPr>
          <w:rFonts w:hint="eastAsia" w:ascii="宋体" w:hAnsi="宋体"/>
          <w:color w:val="auto"/>
          <w:sz w:val="28"/>
          <w:szCs w:val="28"/>
          <w:highlight w:val="none"/>
        </w:rPr>
      </w:pPr>
      <w:r>
        <w:rPr>
          <w:rFonts w:hint="eastAsia" w:ascii="宋体" w:hAnsi="宋体"/>
          <w:color w:val="auto"/>
          <w:sz w:val="24"/>
          <w:highlight w:val="none"/>
        </w:rPr>
        <w:t xml:space="preserve">                               </w:t>
      </w:r>
      <w:r>
        <w:rPr>
          <w:rFonts w:hint="eastAsia" w:ascii="宋体" w:hAnsi="宋体"/>
          <w:color w:val="auto"/>
          <w:sz w:val="28"/>
          <w:szCs w:val="28"/>
          <w:highlight w:val="none"/>
        </w:rPr>
        <w:t xml:space="preserve">  投标人全称:</w:t>
      </w:r>
      <w:r>
        <w:rPr>
          <w:rFonts w:ascii="宋体" w:hAnsi="宋体" w:cs="宋体"/>
          <w:color w:val="auto"/>
          <w:sz w:val="24"/>
          <w:highlight w:val="none"/>
          <w:u w:val="single"/>
        </w:rPr>
        <w:t>（加盖CA电子签章或盖公章）</w:t>
      </w:r>
    </w:p>
    <w:p w14:paraId="298E4A4E">
      <w:pPr>
        <w:spacing w:line="480" w:lineRule="auto"/>
        <w:rPr>
          <w:rFonts w:ascii="仿宋_GB2312" w:hAnsi="Arial"/>
          <w:color w:val="auto"/>
          <w:sz w:val="30"/>
          <w:szCs w:val="21"/>
          <w:highlight w:val="none"/>
        </w:rPr>
      </w:pPr>
      <w:r>
        <w:rPr>
          <w:rFonts w:hint="eastAsia" w:ascii="宋体" w:hAnsi="宋体"/>
          <w:color w:val="auto"/>
          <w:sz w:val="28"/>
          <w:szCs w:val="28"/>
          <w:highlight w:val="none"/>
        </w:rPr>
        <w:t xml:space="preserve">                              日期</w:t>
      </w:r>
      <w:r>
        <w:rPr>
          <w:rFonts w:hint="eastAsia"/>
          <w:color w:val="auto"/>
          <w:sz w:val="24"/>
          <w:highlight w:val="none"/>
        </w:rPr>
        <w:t>：</w:t>
      </w:r>
      <w:r>
        <w:rPr>
          <w:rFonts w:hint="eastAsia"/>
          <w:color w:val="auto"/>
          <w:sz w:val="24"/>
          <w:highlight w:val="none"/>
          <w:u w:val="single"/>
        </w:rPr>
        <w:t xml:space="preserve">             </w:t>
      </w:r>
    </w:p>
    <w:p w14:paraId="1508EF46">
      <w:pPr>
        <w:rPr>
          <w:rFonts w:hint="eastAsia" w:ascii="宋体" w:hAnsi="宋体" w:cs="新宋体"/>
          <w:b/>
          <w:iCs/>
          <w:color w:val="auto"/>
          <w:sz w:val="36"/>
          <w:szCs w:val="36"/>
          <w:highlight w:val="none"/>
        </w:rPr>
      </w:pPr>
      <w:r>
        <w:rPr>
          <w:rFonts w:hint="eastAsia" w:ascii="宋体" w:hAnsi="宋体" w:cs="新宋体"/>
          <w:b/>
          <w:iCs/>
          <w:color w:val="auto"/>
          <w:sz w:val="36"/>
          <w:szCs w:val="36"/>
          <w:highlight w:val="none"/>
        </w:rPr>
        <w:br w:type="page" w:clear="all"/>
      </w:r>
    </w:p>
    <w:p w14:paraId="2C7DAD9B">
      <w:pPr>
        <w:numPr>
          <w:ilvl w:val="0"/>
          <w:numId w:val="0"/>
        </w:numPr>
        <w:jc w:val="both"/>
        <w:rPr>
          <w:rFonts w:hint="eastAsia" w:ascii="宋体" w:hAnsi="宋体" w:cs="新宋体"/>
          <w:b/>
          <w:iCs/>
          <w:color w:val="auto"/>
          <w:sz w:val="36"/>
          <w:szCs w:val="36"/>
          <w:highlight w:val="none"/>
        </w:rPr>
      </w:pPr>
    </w:p>
    <w:p w14:paraId="457DF4B8">
      <w:pPr>
        <w:numPr>
          <w:ilvl w:val="0"/>
          <w:numId w:val="0"/>
        </w:numPr>
        <w:spacing w:line="360" w:lineRule="auto"/>
        <w:jc w:val="center"/>
        <w:rPr>
          <w:rFonts w:hint="eastAsia" w:ascii="宋体" w:hAnsi="宋体" w:cs="新宋体"/>
          <w:b/>
          <w:i/>
          <w:iCs w:val="0"/>
          <w:color w:val="auto"/>
          <w:sz w:val="36"/>
          <w:szCs w:val="36"/>
          <w:highlight w:val="none"/>
          <w:u w:val="single"/>
        </w:rPr>
      </w:pPr>
      <w:r>
        <w:rPr>
          <w:rFonts w:hint="eastAsia" w:ascii="宋体" w:hAnsi="宋体" w:cs="新宋体"/>
          <w:b/>
          <w:i/>
          <w:iCs w:val="0"/>
          <w:color w:val="auto"/>
          <w:sz w:val="36"/>
          <w:szCs w:val="36"/>
          <w:highlight w:val="none"/>
          <w:u w:val="single"/>
          <w:lang w:val="en-US" w:eastAsia="zh-CN"/>
        </w:rPr>
        <w:t>十五</w:t>
      </w:r>
      <w:r>
        <w:rPr>
          <w:rFonts w:hint="eastAsia" w:ascii="宋体" w:hAnsi="宋体" w:cs="新宋体"/>
          <w:b/>
          <w:i/>
          <w:iCs w:val="0"/>
          <w:color w:val="auto"/>
          <w:sz w:val="36"/>
          <w:szCs w:val="36"/>
          <w:highlight w:val="none"/>
          <w:u w:val="single"/>
        </w:rPr>
        <w:t>、开标一览表</w:t>
      </w:r>
    </w:p>
    <w:p w14:paraId="2BAC26C0">
      <w:pPr>
        <w:numPr>
          <w:ilvl w:val="0"/>
          <w:numId w:val="0"/>
        </w:numPr>
        <w:spacing w:line="360" w:lineRule="auto"/>
        <w:jc w:val="center"/>
        <w:rPr>
          <w:rFonts w:hint="eastAsia" w:ascii="宋体" w:hAnsi="宋体"/>
          <w:color w:val="auto"/>
          <w:sz w:val="24"/>
          <w:szCs w:val="24"/>
          <w:highlight w:val="none"/>
        </w:rPr>
      </w:pPr>
      <w:r>
        <w:rPr>
          <w:rFonts w:hint="eastAsia" w:ascii="宋体" w:hAnsi="宋体" w:cs="新宋体"/>
          <w:b/>
          <w:iCs/>
          <w:color w:val="auto"/>
          <w:sz w:val="36"/>
          <w:szCs w:val="36"/>
          <w:highlight w:val="none"/>
        </w:rPr>
        <w:t>（具体详见系统固定格式）</w:t>
      </w:r>
    </w:p>
    <w:p w14:paraId="074910EA">
      <w:pPr>
        <w:pStyle w:val="45"/>
        <w:tabs>
          <w:tab w:val="left" w:pos="5610"/>
        </w:tabs>
        <w:spacing w:line="460" w:lineRule="exact"/>
        <w:ind w:firstLine="560"/>
        <w:rPr>
          <w:rFonts w:hint="eastAsia" w:ascii="宋体" w:hAnsi="宋体" w:eastAsia="宋体" w:cs="宋体"/>
          <w:sz w:val="28"/>
          <w:szCs w:val="28"/>
          <w:lang w:eastAsia="zh-CN"/>
        </w:rPr>
      </w:pPr>
      <w:r>
        <w:rPr>
          <w:rFonts w:hint="eastAsia" w:ascii="宋体" w:hAnsi="宋体" w:eastAsia="宋体" w:cs="宋体"/>
          <w:sz w:val="28"/>
          <w:szCs w:val="28"/>
        </w:rPr>
        <w:t>项目名称：</w:t>
      </w:r>
    </w:p>
    <w:p w14:paraId="770582AF">
      <w:pPr>
        <w:pStyle w:val="45"/>
        <w:tabs>
          <w:tab w:val="left" w:pos="5610"/>
        </w:tabs>
        <w:spacing w:line="460" w:lineRule="exact"/>
        <w:ind w:firstLine="560"/>
        <w:rPr>
          <w:rFonts w:ascii="宋体" w:hAnsi="宋体" w:eastAsia="宋体" w:cs="宋体"/>
          <w:sz w:val="28"/>
          <w:szCs w:val="28"/>
        </w:rPr>
      </w:pPr>
      <w:r>
        <w:rPr>
          <w:rFonts w:hint="eastAsia" w:ascii="宋体" w:hAnsi="宋体" w:eastAsia="宋体" w:cs="宋体"/>
          <w:sz w:val="28"/>
          <w:szCs w:val="28"/>
        </w:rPr>
        <w:t>项目编号</w:t>
      </w:r>
      <w:r>
        <w:rPr>
          <w:rFonts w:hint="eastAsia" w:ascii="宋体" w:hAnsi="宋体" w:eastAsia="宋体" w:cs="宋体"/>
          <w:sz w:val="28"/>
          <w:szCs w:val="28"/>
          <w:lang w:eastAsia="zh-CN"/>
        </w:rPr>
        <w:t>：</w:t>
      </w:r>
    </w:p>
    <w:p w14:paraId="61260B71">
      <w:pPr>
        <w:spacing w:line="360" w:lineRule="auto"/>
        <w:ind w:right="480"/>
        <w:jc w:val="center"/>
        <w:rPr>
          <w:rFonts w:hint="default" w:ascii="宋体" w:hAnsi="宋体" w:eastAsia="宋体"/>
          <w:color w:val="auto"/>
          <w:sz w:val="24"/>
          <w:szCs w:val="24"/>
          <w:highlight w:val="none"/>
          <w:lang w:val="en-US"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货币单位：人民币元</w:t>
      </w:r>
      <w:r>
        <w:rPr>
          <w:rFonts w:hint="eastAsia" w:ascii="宋体" w:hAnsi="宋体"/>
          <w:color w:val="auto"/>
          <w:sz w:val="24"/>
          <w:szCs w:val="24"/>
          <w:highlight w:val="none"/>
          <w:lang w:val="en-US" w:eastAsia="zh-CN"/>
        </w:rPr>
        <w:t xml:space="preserve">                                         </w:t>
      </w:r>
    </w:p>
    <w:tbl>
      <w:tblPr>
        <w:tblStyle w:val="51"/>
        <w:tblW w:w="9243" w:type="dxa"/>
        <w:tblCellSpacing w:w="0" w:type="dxa"/>
        <w:tblInd w:w="118" w:type="dxa"/>
        <w:tblLayout w:type="fixed"/>
        <w:tblCellMar>
          <w:top w:w="0" w:type="dxa"/>
          <w:left w:w="108" w:type="dxa"/>
          <w:bottom w:w="0" w:type="dxa"/>
          <w:right w:w="108" w:type="dxa"/>
        </w:tblCellMar>
      </w:tblPr>
      <w:tblGrid>
        <w:gridCol w:w="2694"/>
        <w:gridCol w:w="2551"/>
        <w:gridCol w:w="3998"/>
      </w:tblGrid>
      <w:tr w14:paraId="375E0A02">
        <w:tblPrEx>
          <w:tblCellMar>
            <w:top w:w="0" w:type="dxa"/>
            <w:left w:w="108" w:type="dxa"/>
            <w:bottom w:w="0" w:type="dxa"/>
            <w:right w:w="108" w:type="dxa"/>
          </w:tblCellMar>
        </w:tblPrEx>
        <w:trPr>
          <w:trHeight w:val="1123" w:hRule="atLeast"/>
          <w:tblCellSpacing w:w="0" w:type="dxa"/>
        </w:trPr>
        <w:tc>
          <w:tcPr>
            <w:tcW w:w="269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B2B61F6">
            <w:pPr>
              <w:pStyle w:val="45"/>
              <w:jc w:val="center"/>
              <w:rPr>
                <w:rFonts w:ascii="宋体" w:hAnsi="宋体" w:eastAsia="宋体"/>
              </w:rPr>
            </w:pPr>
            <w:r>
              <w:rPr>
                <w:rFonts w:hint="eastAsia" w:ascii="宋体" w:hAnsi="宋体" w:eastAsia="宋体" w:cs="宋体"/>
              </w:rPr>
              <w:t>项目名称</w:t>
            </w:r>
          </w:p>
        </w:tc>
        <w:tc>
          <w:tcPr>
            <w:tcW w:w="25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0E7794">
            <w:pPr>
              <w:pStyle w:val="45"/>
              <w:jc w:val="center"/>
              <w:rPr>
                <w:rFonts w:ascii="宋体" w:hAnsi="宋体" w:eastAsia="宋体" w:cs="宋体"/>
              </w:rPr>
            </w:pPr>
            <w:r>
              <w:rPr>
                <w:rFonts w:ascii="宋体" w:hAnsi="宋体" w:eastAsia="宋体" w:cs="宋体"/>
              </w:rPr>
              <w:t>项目内容</w:t>
            </w:r>
          </w:p>
        </w:tc>
        <w:tc>
          <w:tcPr>
            <w:tcW w:w="399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C0C336">
            <w:pPr>
              <w:pStyle w:val="45"/>
              <w:jc w:val="center"/>
              <w:rPr>
                <w:rFonts w:ascii="宋体" w:hAnsi="宋体" w:eastAsia="宋体" w:cs="宋体"/>
              </w:rPr>
            </w:pPr>
            <w:r>
              <w:rPr>
                <w:rFonts w:ascii="宋体" w:hAnsi="宋体" w:eastAsia="宋体" w:cs="宋体"/>
              </w:rPr>
              <w:t>小写</w:t>
            </w:r>
          </w:p>
        </w:tc>
      </w:tr>
      <w:tr w14:paraId="75AF9DE7">
        <w:tblPrEx>
          <w:tblCellMar>
            <w:top w:w="0" w:type="dxa"/>
            <w:left w:w="108" w:type="dxa"/>
            <w:bottom w:w="0" w:type="dxa"/>
            <w:right w:w="108" w:type="dxa"/>
          </w:tblCellMar>
        </w:tblPrEx>
        <w:trPr>
          <w:trHeight w:val="1125" w:hRule="atLeast"/>
          <w:tblCellSpacing w:w="0" w:type="dxa"/>
        </w:trPr>
        <w:tc>
          <w:tcPr>
            <w:tcW w:w="269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BF3931">
            <w:pPr>
              <w:pStyle w:val="45"/>
              <w:spacing w:line="0" w:lineRule="atLeast"/>
              <w:jc w:val="center"/>
              <w:rPr>
                <w:rFonts w:ascii="宋体" w:hAnsi="宋体" w:eastAsia="宋体"/>
              </w:rPr>
            </w:pPr>
            <w:r>
              <w:rPr>
                <w:rFonts w:hint="eastAsia" w:ascii="宋体" w:hAnsi="宋体" w:eastAsia="宋体" w:cs="宋体"/>
              </w:rPr>
              <w:t>项目名称</w:t>
            </w:r>
          </w:p>
        </w:tc>
        <w:tc>
          <w:tcPr>
            <w:tcW w:w="25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681FC8">
            <w:pPr>
              <w:pStyle w:val="45"/>
              <w:spacing w:line="0" w:lineRule="atLeast"/>
              <w:jc w:val="center"/>
              <w:rPr>
                <w:rFonts w:ascii="宋体" w:hAnsi="宋体" w:eastAsia="宋体"/>
              </w:rPr>
            </w:pPr>
            <w:r>
              <w:rPr>
                <w:rFonts w:hint="eastAsia" w:ascii="宋体" w:hAnsi="宋体" w:eastAsia="宋体" w:cs="宋体"/>
              </w:rPr>
              <w:t>详见响应文件</w:t>
            </w:r>
          </w:p>
        </w:tc>
        <w:tc>
          <w:tcPr>
            <w:tcW w:w="399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0648F4B">
            <w:pPr>
              <w:pStyle w:val="45"/>
              <w:spacing w:line="0" w:lineRule="atLeast"/>
              <w:ind w:firstLine="1680"/>
              <w:rPr>
                <w:rFonts w:ascii="宋体" w:hAnsi="宋体" w:eastAsia="宋体"/>
              </w:rPr>
            </w:pPr>
            <w:r>
              <w:rPr>
                <w:rFonts w:hint="eastAsia" w:ascii="宋体" w:hAnsi="宋体" w:eastAsia="宋体"/>
              </w:rPr>
              <w:t>元</w:t>
            </w:r>
          </w:p>
        </w:tc>
      </w:tr>
      <w:tr w14:paraId="0A57A8AA">
        <w:tblPrEx>
          <w:tblCellMar>
            <w:top w:w="0" w:type="dxa"/>
            <w:left w:w="108" w:type="dxa"/>
            <w:bottom w:w="0" w:type="dxa"/>
            <w:right w:w="108" w:type="dxa"/>
          </w:tblCellMar>
        </w:tblPrEx>
        <w:trPr>
          <w:trHeight w:val="1136" w:hRule="atLeast"/>
          <w:tblCellSpacing w:w="0" w:type="dxa"/>
        </w:trPr>
        <w:tc>
          <w:tcPr>
            <w:tcW w:w="269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E5A4CD">
            <w:pPr>
              <w:pStyle w:val="45"/>
              <w:spacing w:line="0" w:lineRule="atLeast"/>
              <w:rPr>
                <w:rFonts w:ascii="宋体" w:hAnsi="宋体" w:eastAsia="宋体" w:cs="宋体"/>
              </w:rPr>
            </w:pPr>
            <w:r>
              <w:rPr>
                <w:rFonts w:hint="eastAsia" w:ascii="宋体" w:hAnsi="宋体" w:eastAsia="宋体" w:cs="宋体"/>
              </w:rPr>
              <w:t>大写：</w:t>
            </w:r>
          </w:p>
        </w:tc>
        <w:tc>
          <w:tcPr>
            <w:tcW w:w="654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376DEA68">
            <w:pPr>
              <w:pStyle w:val="45"/>
              <w:spacing w:line="0" w:lineRule="atLeast"/>
              <w:rPr>
                <w:rFonts w:ascii="宋体" w:hAnsi="宋体" w:eastAsia="宋体"/>
              </w:rPr>
            </w:pPr>
            <w:r>
              <w:rPr>
                <w:rFonts w:ascii="宋体" w:hAnsi="宋体" w:eastAsia="宋体"/>
              </w:rPr>
              <w:t>金额大写</w:t>
            </w:r>
          </w:p>
        </w:tc>
      </w:tr>
    </w:tbl>
    <w:p w14:paraId="20F8B3F6">
      <w:pPr>
        <w:ind w:firstLine="3120"/>
        <w:rPr>
          <w:rFonts w:hint="eastAsia" w:ascii="宋体" w:hAnsi="宋体"/>
          <w:color w:val="auto"/>
          <w:sz w:val="24"/>
          <w:szCs w:val="24"/>
          <w:highlight w:val="none"/>
        </w:rPr>
      </w:pPr>
    </w:p>
    <w:p w14:paraId="538F7D16">
      <w:pPr>
        <w:ind w:firstLine="5280"/>
        <w:rPr>
          <w:rFonts w:hint="eastAsia" w:ascii="宋体" w:hAnsi="宋体"/>
          <w:color w:val="auto"/>
          <w:sz w:val="24"/>
          <w:szCs w:val="24"/>
          <w:highlight w:val="none"/>
        </w:rPr>
      </w:pPr>
    </w:p>
    <w:p w14:paraId="0D2B6E54">
      <w:pPr>
        <w:ind w:firstLine="5280"/>
        <w:rPr>
          <w:rFonts w:hint="eastAsia" w:ascii="宋体" w:hAnsi="宋体"/>
          <w:color w:val="auto"/>
          <w:sz w:val="24"/>
          <w:szCs w:val="24"/>
          <w:highlight w:val="none"/>
        </w:rPr>
      </w:pPr>
      <w:r>
        <w:rPr>
          <w:rFonts w:hint="eastAsia" w:ascii="宋体" w:hAnsi="宋体"/>
          <w:color w:val="auto"/>
          <w:sz w:val="24"/>
          <w:szCs w:val="24"/>
          <w:highlight w:val="none"/>
        </w:rPr>
        <w:t>投标人全称</w:t>
      </w:r>
      <w:r>
        <w:rPr>
          <w:rFonts w:hint="eastAsia" w:ascii="宋体" w:hAnsi="宋体"/>
          <w:color w:val="auto"/>
          <w:sz w:val="24"/>
          <w:szCs w:val="21"/>
          <w:highlight w:val="none"/>
        </w:rPr>
        <w:t>（加盖CA电子公章）</w:t>
      </w:r>
      <w:r>
        <w:rPr>
          <w:rFonts w:hint="eastAsia" w:ascii="宋体" w:hAnsi="宋体"/>
          <w:color w:val="auto"/>
          <w:sz w:val="24"/>
          <w:szCs w:val="24"/>
          <w:highlight w:val="none"/>
        </w:rPr>
        <w:t>：</w:t>
      </w:r>
    </w:p>
    <w:p w14:paraId="06E8F022">
      <w:pPr>
        <w:ind w:firstLine="480"/>
        <w:rPr>
          <w:rFonts w:hint="eastAsia" w:ascii="宋体" w:hAnsi="宋体"/>
          <w:color w:val="auto"/>
          <w:sz w:val="24"/>
          <w:szCs w:val="24"/>
          <w:highlight w:val="none"/>
        </w:rPr>
      </w:pPr>
    </w:p>
    <w:p w14:paraId="6F008047">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期：</w:t>
      </w:r>
    </w:p>
    <w:p w14:paraId="01609084">
      <w:pPr>
        <w:pStyle w:val="50"/>
        <w:rPr>
          <w:rFonts w:hint="eastAsia"/>
          <w:color w:val="auto"/>
          <w:highlight w:val="none"/>
        </w:rPr>
      </w:pPr>
    </w:p>
    <w:p w14:paraId="217A5CB1">
      <w:pPr>
        <w:pStyle w:val="50"/>
        <w:rPr>
          <w:rFonts w:hint="eastAsia" w:cs="仿宋"/>
          <w:b/>
          <w:bCs/>
          <w:color w:val="auto"/>
          <w:sz w:val="32"/>
          <w:szCs w:val="32"/>
          <w:highlight w:val="none"/>
        </w:rPr>
      </w:pPr>
    </w:p>
    <w:p w14:paraId="0EC511D5">
      <w:pPr>
        <w:rPr>
          <w:rFonts w:hint="eastAsia" w:ascii="宋体" w:hAnsi="宋体" w:cs="仿宋"/>
          <w:b/>
          <w:bCs/>
          <w:color w:val="auto"/>
          <w:sz w:val="32"/>
          <w:szCs w:val="32"/>
          <w:highlight w:val="none"/>
        </w:rPr>
      </w:pPr>
    </w:p>
    <w:p w14:paraId="02B1D4E6">
      <w:pPr>
        <w:rPr>
          <w:color w:val="auto"/>
          <w:highlight w:val="none"/>
        </w:rPr>
      </w:pPr>
    </w:p>
    <w:p w14:paraId="2058CA17">
      <w:pPr>
        <w:spacing w:line="360" w:lineRule="auto"/>
        <w:jc w:val="center"/>
        <w:rPr>
          <w:rFonts w:hint="eastAsia" w:ascii="宋体" w:hAnsi="宋体" w:cs="新宋体"/>
          <w:b/>
          <w:iCs/>
          <w:color w:val="auto"/>
          <w:sz w:val="36"/>
          <w:szCs w:val="36"/>
          <w:highlight w:val="none"/>
        </w:rPr>
      </w:pPr>
      <w:r>
        <w:rPr>
          <w:rFonts w:hint="eastAsia" w:ascii="黑体" w:eastAsia="黑体"/>
          <w:color w:val="auto"/>
          <w:sz w:val="32"/>
          <w:szCs w:val="32"/>
          <w:highlight w:val="none"/>
        </w:rPr>
        <w:br w:type="page" w:clear="all"/>
      </w:r>
      <w:r>
        <w:rPr>
          <w:rFonts w:hint="eastAsia" w:ascii="宋体" w:hAnsi="宋体" w:cs="新宋体"/>
          <w:b/>
          <w:i/>
          <w:iCs w:val="0"/>
          <w:color w:val="auto"/>
          <w:sz w:val="36"/>
          <w:szCs w:val="36"/>
          <w:highlight w:val="none"/>
          <w:u w:val="single"/>
        </w:rPr>
        <w:t>十</w:t>
      </w:r>
      <w:r>
        <w:rPr>
          <w:rFonts w:hint="eastAsia" w:ascii="宋体" w:hAnsi="宋体" w:cs="新宋体"/>
          <w:b/>
          <w:i/>
          <w:iCs w:val="0"/>
          <w:color w:val="auto"/>
          <w:sz w:val="36"/>
          <w:szCs w:val="36"/>
          <w:highlight w:val="none"/>
          <w:u w:val="single"/>
          <w:lang w:val="en-US" w:eastAsia="zh-CN"/>
        </w:rPr>
        <w:t>六</w:t>
      </w:r>
      <w:r>
        <w:rPr>
          <w:rFonts w:hint="eastAsia" w:ascii="宋体" w:hAnsi="宋体" w:cs="新宋体"/>
          <w:b/>
          <w:i/>
          <w:iCs w:val="0"/>
          <w:color w:val="auto"/>
          <w:sz w:val="36"/>
          <w:szCs w:val="36"/>
          <w:highlight w:val="none"/>
          <w:u w:val="single"/>
        </w:rPr>
        <w:t>、盐城市政府采购事前信用承诺书</w:t>
      </w:r>
    </w:p>
    <w:p w14:paraId="5702C018">
      <w:pPr>
        <w:widowControl/>
        <w:spacing w:line="50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为营造我市公开、公平、公正、诚实守信的政府采购交易环境，树立诚信守法的投标人形象，本人代表本单位作出以下承诺：</w:t>
      </w:r>
    </w:p>
    <w:p w14:paraId="72CAC938">
      <w:pPr>
        <w:widowControl/>
        <w:spacing w:line="500" w:lineRule="exact"/>
        <w:jc w:val="left"/>
        <w:rPr>
          <w:rFonts w:hint="eastAsia" w:ascii="宋体" w:hAnsi="宋体"/>
          <w:color w:val="auto"/>
          <w:sz w:val="24"/>
          <w:szCs w:val="24"/>
          <w:highlight w:val="none"/>
        </w:rPr>
      </w:pPr>
      <w:r>
        <w:rPr>
          <w:rFonts w:hint="eastAsia" w:ascii="宋体" w:hAnsi="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14D5A020">
      <w:pPr>
        <w:widowControl/>
        <w:spacing w:line="50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86C836A">
      <w:pPr>
        <w:widowControl/>
        <w:spacing w:line="500" w:lineRule="exact"/>
        <w:jc w:val="left"/>
        <w:rPr>
          <w:rFonts w:hint="eastAsia" w:ascii="宋体" w:hAnsi="宋体"/>
          <w:color w:val="auto"/>
          <w:sz w:val="24"/>
          <w:szCs w:val="24"/>
          <w:highlight w:val="none"/>
        </w:rPr>
      </w:pPr>
      <w:r>
        <w:rPr>
          <w:rFonts w:hint="eastAsia" w:ascii="宋体" w:hAnsi="宋体"/>
          <w:color w:val="auto"/>
          <w:sz w:val="24"/>
          <w:szCs w:val="24"/>
          <w:highlight w:val="none"/>
        </w:rPr>
        <w:t xml:space="preserve">   （三）严格依照国家和省、市关于政府采购的法律、法规、规章、规范性文件，参加政府采购投标活动；积极履行社会责任，促进廉政建设； </w:t>
      </w:r>
    </w:p>
    <w:p w14:paraId="3F85D47D">
      <w:pPr>
        <w:widowControl/>
        <w:spacing w:line="500" w:lineRule="exact"/>
        <w:jc w:val="left"/>
        <w:rPr>
          <w:rFonts w:hint="eastAsia" w:ascii="宋体" w:hAnsi="宋体"/>
          <w:color w:val="auto"/>
          <w:sz w:val="24"/>
          <w:szCs w:val="24"/>
          <w:highlight w:val="none"/>
        </w:rPr>
      </w:pPr>
      <w:r>
        <w:rPr>
          <w:rFonts w:hint="eastAsia" w:ascii="宋体" w:hAnsi="宋体"/>
          <w:color w:val="auto"/>
          <w:sz w:val="24"/>
          <w:szCs w:val="24"/>
          <w:highlight w:val="none"/>
        </w:rPr>
        <w:t>   （四）严格遵守即时信息公示规定，及时维护和更新维护和更新盐城市政府采购网中与本单位相关的信息；</w:t>
      </w:r>
    </w:p>
    <w:p w14:paraId="22437913">
      <w:pPr>
        <w:widowControl/>
        <w:spacing w:line="500" w:lineRule="exact"/>
        <w:jc w:val="left"/>
        <w:rPr>
          <w:rFonts w:hint="eastAsia" w:ascii="宋体" w:hAnsi="宋体"/>
          <w:color w:val="auto"/>
          <w:sz w:val="24"/>
          <w:szCs w:val="24"/>
          <w:highlight w:val="none"/>
        </w:rPr>
      </w:pPr>
      <w:r>
        <w:rPr>
          <w:rFonts w:hint="eastAsia" w:ascii="宋体" w:hAnsi="宋体"/>
          <w:color w:val="auto"/>
          <w:sz w:val="24"/>
          <w:szCs w:val="24"/>
          <w:highlight w:val="none"/>
        </w:rPr>
        <w:t>   （五）自我约束、自我管理，守合同、重信用，自觉维护政府采购交易的良好秩序，与参与本次政府采购活动的其他</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不存在直接控股或管理关系，不参与围标串标、弄虚作假、骗取中标、干扰评标、违约毁约等行为；</w:t>
      </w:r>
    </w:p>
    <w:p w14:paraId="2B697B67">
      <w:pPr>
        <w:widowControl/>
        <w:spacing w:line="500" w:lineRule="exact"/>
        <w:jc w:val="left"/>
        <w:rPr>
          <w:rFonts w:hint="eastAsia" w:ascii="宋体" w:hAnsi="宋体"/>
          <w:color w:val="auto"/>
          <w:sz w:val="24"/>
          <w:szCs w:val="24"/>
          <w:highlight w:val="none"/>
        </w:rPr>
      </w:pPr>
      <w:r>
        <w:rPr>
          <w:rFonts w:hint="eastAsia" w:ascii="宋体" w:hAnsi="宋体"/>
          <w:color w:val="auto"/>
          <w:sz w:val="24"/>
          <w:szCs w:val="24"/>
          <w:highlight w:val="none"/>
        </w:rPr>
        <w:t>   （六）自觉接受政府、行业组织、社会公众、新闻舆论的监督；</w:t>
      </w:r>
    </w:p>
    <w:p w14:paraId="52016EB7">
      <w:pPr>
        <w:widowControl/>
        <w:spacing w:line="50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9BCA561">
      <w:pPr>
        <w:widowControl/>
        <w:spacing w:line="500" w:lineRule="exact"/>
        <w:jc w:val="left"/>
        <w:rPr>
          <w:rFonts w:hint="eastAsia" w:ascii="宋体" w:hAnsi="宋体"/>
          <w:color w:val="auto"/>
          <w:sz w:val="24"/>
          <w:szCs w:val="24"/>
          <w:highlight w:val="none"/>
        </w:rPr>
      </w:pPr>
      <w:r>
        <w:rPr>
          <w:rFonts w:hint="eastAsia" w:ascii="宋体" w:hAnsi="宋体"/>
          <w:color w:val="auto"/>
          <w:sz w:val="24"/>
          <w:szCs w:val="24"/>
          <w:highlight w:val="none"/>
        </w:rPr>
        <w:t>   （八）本人已认真阅读了上述承诺，并向本单位员工作了宣传教育。</w:t>
      </w:r>
    </w:p>
    <w:p w14:paraId="33952A37">
      <w:pPr>
        <w:widowControl/>
        <w:spacing w:line="500" w:lineRule="exact"/>
        <w:jc w:val="left"/>
        <w:rPr>
          <w:rFonts w:hint="eastAsia" w:ascii="宋体" w:hAnsi="宋体"/>
          <w:color w:val="auto"/>
          <w:sz w:val="24"/>
          <w:szCs w:val="24"/>
          <w:highlight w:val="none"/>
        </w:rPr>
      </w:pPr>
    </w:p>
    <w:p w14:paraId="61E68126">
      <w:pPr>
        <w:widowControl/>
        <w:spacing w:line="480" w:lineRule="auto"/>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法定代表人：（签字或盖章）</w:t>
      </w:r>
    </w:p>
    <w:p w14:paraId="2504D441">
      <w:pPr>
        <w:widowControl/>
        <w:spacing w:line="480" w:lineRule="auto"/>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投标人全称：（加盖CA电子签章或盖公章）</w:t>
      </w:r>
    </w:p>
    <w:p w14:paraId="5872ED15">
      <w:pPr>
        <w:pStyle w:val="50"/>
        <w:spacing w:line="480" w:lineRule="auto"/>
        <w:rPr>
          <w:rFonts w:hint="eastAsia"/>
          <w:color w:val="auto"/>
          <w:highlight w:val="none"/>
        </w:rPr>
      </w:pPr>
      <w:r>
        <w:rPr>
          <w:rFonts w:hint="eastAsia"/>
          <w:color w:val="auto"/>
          <w:sz w:val="24"/>
          <w:szCs w:val="24"/>
          <w:highlight w:val="none"/>
        </w:rPr>
        <w:t xml:space="preserve">                                       </w:t>
      </w:r>
      <w:r>
        <w:rPr>
          <w:rFonts w:hint="eastAsia"/>
          <w:color w:val="auto"/>
          <w:sz w:val="24"/>
          <w:szCs w:val="24"/>
          <w:highlight w:val="none"/>
          <w:lang w:val="en-US" w:eastAsia="zh-CN"/>
        </w:rPr>
        <w:t xml:space="preserve">     </w:t>
      </w:r>
      <w:r>
        <w:rPr>
          <w:rFonts w:hint="eastAsia"/>
          <w:color w:val="auto"/>
          <w:sz w:val="24"/>
          <w:szCs w:val="24"/>
          <w:highlight w:val="none"/>
        </w:rPr>
        <w:t xml:space="preserve"> 年    月    日</w:t>
      </w:r>
    </w:p>
    <w:p w14:paraId="52B83734">
      <w:pPr>
        <w:spacing w:line="480" w:lineRule="auto"/>
        <w:jc w:val="center"/>
        <w:rPr>
          <w:rFonts w:hint="eastAsia" w:ascii="宋体" w:hAnsi="宋体" w:cs="仿宋"/>
          <w:b/>
          <w:bCs/>
          <w:color w:val="auto"/>
          <w:sz w:val="32"/>
          <w:szCs w:val="32"/>
          <w:highlight w:val="none"/>
        </w:rPr>
      </w:pPr>
      <w:r>
        <w:rPr>
          <w:rFonts w:ascii="宋体" w:hAnsi="宋体" w:cs="仿宋"/>
          <w:b/>
          <w:bCs/>
          <w:color w:val="auto"/>
          <w:sz w:val="32"/>
          <w:szCs w:val="32"/>
          <w:highlight w:val="none"/>
        </w:rPr>
        <w:br w:type="page" w:clear="all"/>
      </w:r>
      <w:r>
        <w:rPr>
          <w:rFonts w:hint="eastAsia" w:ascii="宋体" w:hAnsi="宋体" w:cs="仿宋"/>
          <w:b/>
          <w:bCs/>
          <w:color w:val="auto"/>
          <w:sz w:val="32"/>
          <w:szCs w:val="32"/>
          <w:highlight w:val="none"/>
        </w:rPr>
        <w:t>质疑函范本</w:t>
      </w:r>
    </w:p>
    <w:p w14:paraId="0488FEFC">
      <w:pPr>
        <w:spacing w:before="290"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一、质疑</w:t>
      </w:r>
      <w:r>
        <w:rPr>
          <w:rFonts w:hint="eastAsia" w:ascii="宋体" w:hAnsi="宋体" w:cs="仿宋"/>
          <w:bCs/>
          <w:color w:val="auto"/>
          <w:sz w:val="24"/>
          <w:szCs w:val="24"/>
          <w:highlight w:val="none"/>
          <w:lang w:eastAsia="zh-CN"/>
        </w:rPr>
        <w:t>投标人</w:t>
      </w:r>
      <w:r>
        <w:rPr>
          <w:rFonts w:hint="eastAsia" w:ascii="宋体" w:hAnsi="宋体" w:cs="仿宋"/>
          <w:bCs/>
          <w:color w:val="auto"/>
          <w:sz w:val="24"/>
          <w:szCs w:val="24"/>
          <w:highlight w:val="none"/>
        </w:rPr>
        <w:t>基本信息</w:t>
      </w:r>
    </w:p>
    <w:p w14:paraId="676F51F5">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质疑</w:t>
      </w:r>
      <w:r>
        <w:rPr>
          <w:rFonts w:hint="eastAsia" w:ascii="宋体" w:hAnsi="宋体" w:cs="仿宋"/>
          <w:color w:val="auto"/>
          <w:sz w:val="24"/>
          <w:szCs w:val="24"/>
          <w:highlight w:val="none"/>
          <w:lang w:eastAsia="zh-CN"/>
        </w:rPr>
        <w:t>投标人</w:t>
      </w:r>
      <w:r>
        <w:rPr>
          <w:rFonts w:hint="eastAsia" w:ascii="宋体" w:hAnsi="宋体" w:cs="仿宋"/>
          <w:color w:val="auto"/>
          <w:sz w:val="24"/>
          <w:szCs w:val="24"/>
          <w:highlight w:val="none"/>
        </w:rPr>
        <w:t>：</w:t>
      </w:r>
      <w:r>
        <w:rPr>
          <w:rFonts w:hint="eastAsia" w:ascii="宋体" w:hAnsi="宋体" w:cs="仿宋"/>
          <w:color w:val="auto"/>
          <w:sz w:val="24"/>
          <w:szCs w:val="24"/>
          <w:highlight w:val="none"/>
          <w:u w:val="single"/>
        </w:rPr>
        <w:t xml:space="preserve">                                                               </w:t>
      </w:r>
    </w:p>
    <w:p w14:paraId="0F05C90C">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1D5618CB">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25654E07">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single"/>
        </w:rPr>
        <w:t xml:space="preserve">                                                                 </w:t>
      </w:r>
    </w:p>
    <w:p w14:paraId="27E60185">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24054323">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4D0E4AF1">
      <w:pPr>
        <w:spacing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二、质疑项目基本情况</w:t>
      </w:r>
    </w:p>
    <w:p w14:paraId="62CB493A">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质疑项目的名称：</w:t>
      </w:r>
      <w:r>
        <w:rPr>
          <w:rFonts w:hint="eastAsia" w:ascii="宋体" w:hAnsi="宋体" w:cs="仿宋"/>
          <w:color w:val="auto"/>
          <w:sz w:val="24"/>
          <w:szCs w:val="24"/>
          <w:highlight w:val="none"/>
          <w:u w:val="single"/>
        </w:rPr>
        <w:t xml:space="preserve">                                                           </w:t>
      </w:r>
    </w:p>
    <w:p w14:paraId="71679AC8">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包号：</w:t>
      </w:r>
      <w:r>
        <w:rPr>
          <w:rFonts w:hint="eastAsia" w:ascii="宋体" w:hAnsi="宋体" w:cs="仿宋"/>
          <w:color w:val="auto"/>
          <w:sz w:val="24"/>
          <w:szCs w:val="24"/>
          <w:highlight w:val="none"/>
          <w:u w:val="single"/>
        </w:rPr>
        <w:t xml:space="preserve">                            </w:t>
      </w:r>
    </w:p>
    <w:p w14:paraId="13B21061">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single"/>
        </w:rPr>
        <w:t xml:space="preserve">                                                               </w:t>
      </w:r>
    </w:p>
    <w:p w14:paraId="7F0C3333">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采购文件获取日期：</w:t>
      </w:r>
      <w:r>
        <w:rPr>
          <w:rFonts w:hint="eastAsia" w:ascii="宋体" w:hAnsi="宋体" w:cs="仿宋"/>
          <w:color w:val="auto"/>
          <w:sz w:val="24"/>
          <w:szCs w:val="24"/>
          <w:highlight w:val="none"/>
          <w:u w:val="single"/>
        </w:rPr>
        <w:t xml:space="preserve">                                                         </w:t>
      </w:r>
    </w:p>
    <w:p w14:paraId="70251137">
      <w:pPr>
        <w:spacing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三、质疑事项具体内容</w:t>
      </w:r>
    </w:p>
    <w:p w14:paraId="3462CAAB">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single"/>
        </w:rPr>
        <w:t xml:space="preserve">                                                               </w:t>
      </w:r>
    </w:p>
    <w:p w14:paraId="1A2D60FD">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single"/>
        </w:rPr>
        <w:t xml:space="preserve">                                                                 </w:t>
      </w:r>
    </w:p>
    <w:p w14:paraId="05550979">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                                                                           </w:t>
      </w:r>
    </w:p>
    <w:p w14:paraId="227A06E3">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single"/>
        </w:rPr>
        <w:t xml:space="preserve">                                                                 </w:t>
      </w:r>
    </w:p>
    <w:p w14:paraId="5C7361A2">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p>
    <w:p w14:paraId="115C490E">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质疑事项2</w:t>
      </w:r>
    </w:p>
    <w:p w14:paraId="71AE5406">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w:t>
      </w:r>
    </w:p>
    <w:p w14:paraId="413C41E5">
      <w:pPr>
        <w:spacing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四、与质疑事项相关的质疑请求</w:t>
      </w:r>
    </w:p>
    <w:p w14:paraId="4CE618E1">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single"/>
        </w:rPr>
        <w:t xml:space="preserve">                                                                     </w:t>
      </w:r>
    </w:p>
    <w:p w14:paraId="64C8A663">
      <w:pPr>
        <w:rPr>
          <w:rFonts w:hint="eastAsia" w:ascii="宋体" w:hAnsi="宋体"/>
          <w:color w:val="auto"/>
          <w:sz w:val="24"/>
          <w:szCs w:val="24"/>
          <w:highlight w:val="none"/>
        </w:rPr>
      </w:pPr>
      <w:r>
        <w:rPr>
          <w:rFonts w:hint="eastAsia" w:ascii="宋体" w:hAnsi="宋体"/>
          <w:color w:val="auto"/>
          <w:sz w:val="24"/>
          <w:szCs w:val="24"/>
          <w:highlight w:val="none"/>
        </w:rPr>
        <w:t xml:space="preserve">签字(签章)：                   公章：                      </w:t>
      </w:r>
    </w:p>
    <w:p w14:paraId="3AA39FEB">
      <w:pPr>
        <w:rPr>
          <w:rFonts w:hint="eastAsia" w:ascii="宋体" w:hAnsi="宋体"/>
          <w:color w:val="auto"/>
          <w:sz w:val="24"/>
          <w:szCs w:val="24"/>
          <w:highlight w:val="none"/>
        </w:rPr>
      </w:pPr>
      <w:r>
        <w:rPr>
          <w:rFonts w:hint="eastAsia" w:ascii="宋体" w:hAnsi="宋体"/>
          <w:color w:val="auto"/>
          <w:sz w:val="24"/>
          <w:szCs w:val="24"/>
          <w:highlight w:val="none"/>
        </w:rPr>
        <w:t xml:space="preserve">日期：    </w:t>
      </w:r>
    </w:p>
    <w:p w14:paraId="100ACE0E">
      <w:pPr>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质疑函制作说明：</w:t>
      </w:r>
    </w:p>
    <w:p w14:paraId="5A458BDB">
      <w:pPr>
        <w:widowControl/>
        <w:spacing w:line="40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提出质疑时，应提交质疑函和必要的证明材料。</w:t>
      </w:r>
    </w:p>
    <w:p w14:paraId="5BF8D1B2">
      <w:pPr>
        <w:widowControl/>
        <w:spacing w:line="40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2.质疑</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若委托代理人进行质疑的，质疑函应按要求列明“授权代表”的有关内容，并在附件中提交由质疑</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签署的授权委托书。授权委托书应载明代理人的姓名或者名称、代理事项、具体权限、期限和相关事项。</w:t>
      </w:r>
    </w:p>
    <w:p w14:paraId="02D9E773">
      <w:pPr>
        <w:widowControl/>
        <w:spacing w:line="40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3.质疑</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若对项目的某一分包进行质疑，质疑函中应列明具体分包号。</w:t>
      </w:r>
    </w:p>
    <w:p w14:paraId="6122C904">
      <w:pPr>
        <w:widowControl/>
        <w:spacing w:line="40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4.质疑函的质疑事项应具体、明确，并有必要的事实依据和法律依据。</w:t>
      </w:r>
    </w:p>
    <w:p w14:paraId="75A1C3C6">
      <w:pPr>
        <w:widowControl/>
        <w:spacing w:line="40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5.质疑函的质疑请求应与质疑事项相关。</w:t>
      </w:r>
    </w:p>
    <w:p w14:paraId="2FCC6F6E">
      <w:pPr>
        <w:widowControl/>
        <w:spacing w:line="40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6.质疑</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为自然人的，质疑函应由本人签字；质疑</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为法人或者其他组织的，质疑函应由法定代表人、主要负责人，或者其授权代表签字或者盖章，并加盖公章。</w:t>
      </w:r>
    </w:p>
    <w:p w14:paraId="29999991">
      <w:pPr>
        <w:ind w:firstLine="420"/>
        <w:rPr>
          <w:color w:val="auto"/>
          <w:sz w:val="24"/>
          <w:szCs w:val="24"/>
          <w:highlight w:val="none"/>
        </w:rPr>
      </w:pPr>
    </w:p>
    <w:p w14:paraId="6C7167D6">
      <w:pPr>
        <w:spacing w:line="500" w:lineRule="exact"/>
        <w:rPr>
          <w:rStyle w:val="308"/>
          <w:rFonts w:hint="eastAsia" w:ascii="宋体" w:hAnsi="宋体"/>
          <w:color w:val="auto"/>
          <w:sz w:val="24"/>
          <w:szCs w:val="24"/>
          <w:highlight w:val="none"/>
        </w:rPr>
      </w:pPr>
    </w:p>
    <w:p w14:paraId="56E6EAA0">
      <w:pPr>
        <w:spacing w:line="500" w:lineRule="exact"/>
        <w:rPr>
          <w:rStyle w:val="308"/>
          <w:rFonts w:hint="eastAsia" w:ascii="宋体" w:hAnsi="宋体"/>
          <w:color w:val="auto"/>
          <w:sz w:val="24"/>
          <w:szCs w:val="24"/>
          <w:highlight w:val="none"/>
        </w:rPr>
      </w:pPr>
    </w:p>
    <w:sectPr>
      <w:headerReference r:id="rId3" w:type="default"/>
      <w:footerReference r:id="rId4" w:type="default"/>
      <w:footerReference r:id="rId5" w:type="even"/>
      <w:pgSz w:w="11906" w:h="16838"/>
      <w:pgMar w:top="1418" w:right="1304" w:bottom="1418" w:left="1304"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Showcard Gothic">
    <w:panose1 w:val="04020904020102020604"/>
    <w:charset w:val="00"/>
    <w:family w:val="auto"/>
    <w:pitch w:val="default"/>
    <w:sig w:usb0="00000003" w:usb1="00000000" w:usb2="00000000" w:usb3="00000000" w:csb0="20000001" w:csb1="00000000"/>
  </w:font>
  <w:font w:name="新宋体">
    <w:panose1 w:val="02010609030101010101"/>
    <w:charset w:val="86"/>
    <w:family w:val="auto"/>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5BCC7">
    <w:pPr>
      <w:pStyle w:val="32"/>
      <w:framePr w:wrap="around" w:vAnchor="text" w:hAnchor="margin" w:xAlign="center" w:y="1"/>
      <w:rPr>
        <w:rStyle w:val="56"/>
        <w:rFonts w:hint="eastAsia" w:ascii="宋体" w:hAnsi="宋体"/>
      </w:rPr>
    </w:pPr>
    <w:r>
      <w:rPr>
        <w:rFonts w:hint="eastAsia" w:ascii="黑体" w:hAnsi="黑体" w:eastAsia="黑体" w:cs="黑体"/>
      </w:rPr>
      <w:fldChar w:fldCharType="begin"/>
    </w:r>
    <w:r>
      <w:rPr>
        <w:rFonts w:hint="eastAsia" w:ascii="黑体" w:hAnsi="黑体" w:eastAsia="黑体" w:cs="黑体"/>
      </w:rPr>
      <w:instrText xml:space="preserve">PAGE  </w:instrText>
    </w:r>
    <w:r>
      <w:rPr>
        <w:rFonts w:hint="eastAsia" w:ascii="黑体" w:hAnsi="黑体" w:eastAsia="黑体" w:cs="黑体"/>
      </w:rPr>
      <w:fldChar w:fldCharType="separate"/>
    </w:r>
    <w:r>
      <w:rPr>
        <w:rFonts w:ascii="黑体" w:hAnsi="黑体" w:eastAsia="黑体" w:cs="黑体"/>
      </w:rPr>
      <w:t>38</w:t>
    </w:r>
    <w:r>
      <w:rPr>
        <w:rFonts w:hint="eastAsia" w:ascii="黑体" w:hAnsi="黑体" w:eastAsia="黑体" w:cs="黑体"/>
      </w:rPr>
      <w:fldChar w:fldCharType="end"/>
    </w:r>
  </w:p>
  <w:p w14:paraId="46EF17C1">
    <w:pPr>
      <w:pStyle w:val="32"/>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EAED2">
    <w:pPr>
      <w:pStyle w:val="32"/>
      <w:framePr w:wrap="around" w:vAnchor="text" w:hAnchor="margin" w:xAlign="center" w:y="1"/>
      <w:rPr>
        <w:rStyle w:val="56"/>
      </w:rPr>
    </w:pPr>
    <w:r>
      <w:fldChar w:fldCharType="begin"/>
    </w:r>
    <w:r>
      <w:rPr>
        <w:rStyle w:val="56"/>
      </w:rPr>
      <w:instrText xml:space="preserve">PAGE  </w:instrText>
    </w:r>
    <w:r>
      <w:fldChar w:fldCharType="separate"/>
    </w:r>
    <w:r>
      <w:rPr>
        <w:rStyle w:val="56"/>
      </w:rPr>
      <w:t>1</w:t>
    </w:r>
    <w:r>
      <w:fldChar w:fldCharType="end"/>
    </w:r>
  </w:p>
  <w:p w14:paraId="618C6FC0">
    <w:pPr>
      <w:pStyle w:val="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5155F">
    <w:pPr>
      <w:pStyle w:val="3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7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9629513"/>
    <w:multiLevelType w:val="singleLevel"/>
    <w:tmpl w:val="D9629513"/>
    <w:lvl w:ilvl="0" w:tentative="0">
      <w:start w:val="9"/>
      <w:numFmt w:val="decimal"/>
      <w:lvlText w:val="%1."/>
      <w:lvlJc w:val="left"/>
      <w:pPr>
        <w:tabs>
          <w:tab w:val="left" w:pos="312"/>
        </w:tabs>
      </w:pPr>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pStyle w:val="80"/>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8"/>
      <w:suff w:val="nothing"/>
      <w:lvlText w:val=""/>
      <w:lvlJc w:val="left"/>
      <w:pPr>
        <w:ind w:left="0" w:firstLine="0"/>
      </w:pPr>
      <w:rPr>
        <w:rFonts w:hint="eastAsia"/>
      </w:rPr>
    </w:lvl>
    <w:lvl w:ilvl="6" w:tentative="0">
      <w:start w:val="1"/>
      <w:numFmt w:val="decimal"/>
      <w:pStyle w:val="9"/>
      <w:suff w:val="nothing"/>
      <w:lvlText w:val=""/>
      <w:lvlJc w:val="left"/>
      <w:pPr>
        <w:ind w:left="0" w:firstLine="0"/>
      </w:pPr>
      <w:rPr>
        <w:rFonts w:hint="eastAsia"/>
      </w:rPr>
    </w:lvl>
    <w:lvl w:ilvl="7" w:tentative="0">
      <w:start w:val="1"/>
      <w:numFmt w:val="decimal"/>
      <w:pStyle w:val="10"/>
      <w:suff w:val="nothing"/>
      <w:lvlText w:val=""/>
      <w:lvlJc w:val="left"/>
      <w:pPr>
        <w:ind w:left="0" w:firstLine="0"/>
      </w:pPr>
      <w:rPr>
        <w:rFonts w:hint="eastAsia"/>
      </w:rPr>
    </w:lvl>
    <w:lvl w:ilvl="8" w:tentative="0">
      <w:start w:val="1"/>
      <w:numFmt w:val="decimal"/>
      <w:pStyle w:val="11"/>
      <w:suff w:val="nothing"/>
      <w:lvlText w:val=""/>
      <w:lvlJc w:val="left"/>
      <w:pPr>
        <w:ind w:left="0" w:firstLine="0"/>
      </w:pPr>
      <w:rPr>
        <w:rFonts w:hint="eastAsia"/>
      </w:rPr>
    </w:lvl>
  </w:abstractNum>
  <w:abstractNum w:abstractNumId="5">
    <w:nsid w:val="0248C179"/>
    <w:multiLevelType w:val="multilevel"/>
    <w:tmpl w:val="0248C17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9ADCABA"/>
    <w:multiLevelType w:val="multilevel"/>
    <w:tmpl w:val="59ADCABA"/>
    <w:lvl w:ilvl="0" w:tentative="0">
      <w:start w:val="1"/>
      <w:numFmt w:val="decimal"/>
      <w:pStyle w:val="28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72183CF9"/>
    <w:multiLevelType w:val="multilevel"/>
    <w:tmpl w:val="72183CF9"/>
    <w:lvl w:ilvl="0" w:tentative="0">
      <w:start w:val="10"/>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1"/>
  </w:num>
  <w:num w:numId="5">
    <w:abstractNumId w:val="3"/>
  </w:num>
  <w:num w:numId="6">
    <w:abstractNumId w:val="0"/>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477318"/>
    <w:rsid w:val="037D56E7"/>
    <w:rsid w:val="06480394"/>
    <w:rsid w:val="0A1357D3"/>
    <w:rsid w:val="0DDA54E4"/>
    <w:rsid w:val="0F047233"/>
    <w:rsid w:val="127840D2"/>
    <w:rsid w:val="15FB249C"/>
    <w:rsid w:val="18585984"/>
    <w:rsid w:val="191C10A7"/>
    <w:rsid w:val="1A840CB2"/>
    <w:rsid w:val="1ACB0058"/>
    <w:rsid w:val="1BA535D6"/>
    <w:rsid w:val="1CF57C45"/>
    <w:rsid w:val="1D970CFC"/>
    <w:rsid w:val="1E1E766F"/>
    <w:rsid w:val="1EA361C2"/>
    <w:rsid w:val="202D5948"/>
    <w:rsid w:val="234B6811"/>
    <w:rsid w:val="24967F5F"/>
    <w:rsid w:val="289A5B44"/>
    <w:rsid w:val="29A22F02"/>
    <w:rsid w:val="300246FB"/>
    <w:rsid w:val="31E542D4"/>
    <w:rsid w:val="33B977C6"/>
    <w:rsid w:val="351B1DBB"/>
    <w:rsid w:val="35D97CAC"/>
    <w:rsid w:val="39006B4A"/>
    <w:rsid w:val="3A080B60"/>
    <w:rsid w:val="3B7566C9"/>
    <w:rsid w:val="3D5C3FB9"/>
    <w:rsid w:val="3E3600DC"/>
    <w:rsid w:val="3FCA29C8"/>
    <w:rsid w:val="41874A60"/>
    <w:rsid w:val="42274495"/>
    <w:rsid w:val="430F7403"/>
    <w:rsid w:val="4383021B"/>
    <w:rsid w:val="44753296"/>
    <w:rsid w:val="45E71F71"/>
    <w:rsid w:val="46BB5D46"/>
    <w:rsid w:val="493A4AAE"/>
    <w:rsid w:val="497A30FC"/>
    <w:rsid w:val="4A05093F"/>
    <w:rsid w:val="4B6776B0"/>
    <w:rsid w:val="4C015902"/>
    <w:rsid w:val="4CF36B79"/>
    <w:rsid w:val="4F94051C"/>
    <w:rsid w:val="4F98252E"/>
    <w:rsid w:val="50D457E8"/>
    <w:rsid w:val="53A07C03"/>
    <w:rsid w:val="54181622"/>
    <w:rsid w:val="56660C90"/>
    <w:rsid w:val="566D0271"/>
    <w:rsid w:val="5A472AAA"/>
    <w:rsid w:val="5ADF54B5"/>
    <w:rsid w:val="5B6D7F83"/>
    <w:rsid w:val="5CA42512"/>
    <w:rsid w:val="5D56565A"/>
    <w:rsid w:val="5F1B79A2"/>
    <w:rsid w:val="5F9265B5"/>
    <w:rsid w:val="626F5370"/>
    <w:rsid w:val="628D74CD"/>
    <w:rsid w:val="69006870"/>
    <w:rsid w:val="695B6B4A"/>
    <w:rsid w:val="6A1C4030"/>
    <w:rsid w:val="6A1D1DA5"/>
    <w:rsid w:val="6C2216A6"/>
    <w:rsid w:val="6C8E0AE9"/>
    <w:rsid w:val="6D1919FD"/>
    <w:rsid w:val="6D1B05CF"/>
    <w:rsid w:val="6D6F26C8"/>
    <w:rsid w:val="6F042C5B"/>
    <w:rsid w:val="7341305B"/>
    <w:rsid w:val="74BD01BD"/>
    <w:rsid w:val="75A1188D"/>
    <w:rsid w:val="79091C23"/>
    <w:rsid w:val="7BDE32F0"/>
    <w:rsid w:val="7C1508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0" w:semiHidden="0"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244"/>
    <w:qFormat/>
    <w:uiPriority w:val="0"/>
    <w:pPr>
      <w:keepNext/>
      <w:jc w:val="center"/>
      <w:outlineLvl w:val="0"/>
    </w:pPr>
    <w:rPr>
      <w:rFonts w:ascii="楷体_GB2312" w:eastAsia="楷体_GB2312"/>
      <w:sz w:val="28"/>
      <w:szCs w:val="28"/>
    </w:rPr>
  </w:style>
  <w:style w:type="paragraph" w:styleId="3">
    <w:name w:val="heading 2"/>
    <w:basedOn w:val="1"/>
    <w:next w:val="1"/>
    <w:link w:val="245"/>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4">
    <w:name w:val="heading 3"/>
    <w:basedOn w:val="1"/>
    <w:next w:val="1"/>
    <w:link w:val="247"/>
    <w:qFormat/>
    <w:uiPriority w:val="0"/>
    <w:pPr>
      <w:keepNext/>
      <w:keepLines/>
      <w:spacing w:before="260" w:after="260" w:line="416" w:lineRule="auto"/>
      <w:outlineLvl w:val="2"/>
    </w:pPr>
    <w:rPr>
      <w:b/>
      <w:bCs/>
      <w:sz w:val="32"/>
      <w:szCs w:val="32"/>
    </w:rPr>
  </w:style>
  <w:style w:type="paragraph" w:styleId="5">
    <w:name w:val="heading 4"/>
    <w:basedOn w:val="1"/>
    <w:next w:val="6"/>
    <w:link w:val="248"/>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6"/>
    <w:link w:val="249"/>
    <w:qFormat/>
    <w:uiPriority w:val="0"/>
    <w:pPr>
      <w:keepNext/>
      <w:outlineLvl w:val="4"/>
    </w:pPr>
    <w:rPr>
      <w:rFonts w:ascii="宋体"/>
      <w:color w:val="000000"/>
      <w:sz w:val="28"/>
      <w:szCs w:val="28"/>
    </w:rPr>
  </w:style>
  <w:style w:type="paragraph" w:styleId="8">
    <w:name w:val="heading 6"/>
    <w:basedOn w:val="1"/>
    <w:next w:val="1"/>
    <w:link w:val="250"/>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251"/>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252"/>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253"/>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246"/>
    <w:qFormat/>
    <w:uiPriority w:val="0"/>
    <w:pPr>
      <w:ind w:firstLine="420"/>
    </w:pPr>
    <w:rPr>
      <w:szCs w:val="21"/>
    </w:rPr>
  </w:style>
  <w:style w:type="paragraph" w:styleId="12">
    <w:name w:val="List 3"/>
    <w:basedOn w:val="1"/>
    <w:qFormat/>
    <w:uiPriority w:val="0"/>
    <w:pPr>
      <w:ind w:left="100" w:hanging="200"/>
    </w:pPr>
    <w:rPr>
      <w:szCs w:val="21"/>
    </w:rPr>
  </w:style>
  <w:style w:type="paragraph" w:styleId="13">
    <w:name w:val="toc 7"/>
    <w:basedOn w:val="1"/>
    <w:next w:val="1"/>
    <w:semiHidden/>
    <w:qFormat/>
    <w:uiPriority w:val="0"/>
    <w:pPr>
      <w:ind w:left="1260"/>
      <w:jc w:val="left"/>
    </w:pPr>
    <w:rPr>
      <w:szCs w:val="21"/>
    </w:r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Document Map"/>
    <w:basedOn w:val="1"/>
    <w:link w:val="254"/>
    <w:semiHidden/>
    <w:qFormat/>
    <w:uiPriority w:val="0"/>
    <w:pPr>
      <w:shd w:val="clear" w:color="auto" w:fill="000080"/>
    </w:pPr>
    <w:rPr>
      <w:szCs w:val="21"/>
    </w:rPr>
  </w:style>
  <w:style w:type="paragraph" w:styleId="16">
    <w:name w:val="annotation text"/>
    <w:basedOn w:val="1"/>
    <w:link w:val="255"/>
    <w:unhideWhenUsed/>
    <w:qFormat/>
    <w:uiPriority w:val="0"/>
    <w:pPr>
      <w:jc w:val="left"/>
    </w:pPr>
  </w:style>
  <w:style w:type="paragraph" w:styleId="17">
    <w:name w:val="Body Text 3"/>
    <w:basedOn w:val="1"/>
    <w:link w:val="256"/>
    <w:qFormat/>
    <w:uiPriority w:val="0"/>
    <w:rPr>
      <w:rFonts w:ascii="仿宋_GB2312" w:hAnsi="Arial" w:eastAsia="仿宋_GB2312"/>
      <w:sz w:val="32"/>
      <w:szCs w:val="32"/>
    </w:rPr>
  </w:style>
  <w:style w:type="paragraph" w:styleId="18">
    <w:name w:val="Body Text"/>
    <w:basedOn w:val="1"/>
    <w:link w:val="257"/>
    <w:qFormat/>
    <w:uiPriority w:val="0"/>
    <w:rPr>
      <w:rFonts w:ascii="楷体_GB2312" w:hAnsi="Arial" w:eastAsia="楷体_GB2312"/>
      <w:sz w:val="28"/>
      <w:szCs w:val="28"/>
    </w:rPr>
  </w:style>
  <w:style w:type="paragraph" w:styleId="19">
    <w:name w:val="Body Text Indent"/>
    <w:basedOn w:val="1"/>
    <w:next w:val="20"/>
    <w:link w:val="258"/>
    <w:unhideWhenUsed/>
    <w:qFormat/>
    <w:uiPriority w:val="0"/>
    <w:pPr>
      <w:spacing w:after="120"/>
      <w:ind w:left="420"/>
    </w:pPr>
  </w:style>
  <w:style w:type="paragraph" w:styleId="20">
    <w:name w:val="envelope return"/>
    <w:basedOn w:val="1"/>
    <w:qFormat/>
    <w:uiPriority w:val="0"/>
    <w:rPr>
      <w:rFonts w:ascii="Arial" w:hAnsi="Arial"/>
    </w:rPr>
  </w:style>
  <w:style w:type="paragraph" w:styleId="21">
    <w:name w:val="List 2"/>
    <w:basedOn w:val="1"/>
    <w:qFormat/>
    <w:uiPriority w:val="0"/>
    <w:pPr>
      <w:ind w:left="100" w:hanging="200"/>
    </w:pPr>
    <w:rPr>
      <w:szCs w:val="21"/>
    </w:rPr>
  </w:style>
  <w:style w:type="paragraph" w:styleId="22">
    <w:name w:val="Block Text"/>
    <w:basedOn w:val="1"/>
    <w:unhideWhenUsed/>
    <w:qFormat/>
    <w:uiPriority w:val="0"/>
    <w:pPr>
      <w:spacing w:after="120"/>
      <w:ind w:left="1440"/>
    </w:pPr>
    <w:rPr>
      <w:rFonts w:hint="eastAsia"/>
    </w:rPr>
  </w:style>
  <w:style w:type="paragraph" w:styleId="23">
    <w:name w:val="index 4"/>
    <w:basedOn w:val="1"/>
    <w:next w:val="1"/>
    <w:qFormat/>
    <w:uiPriority w:val="99"/>
    <w:pPr>
      <w:widowControl/>
      <w:spacing w:before="160" w:after="160" w:line="240" w:lineRule="atLeast"/>
      <w:ind w:left="1260"/>
      <w:jc w:val="left"/>
    </w:pPr>
    <w:rPr>
      <w:rFonts w:cs="Arial"/>
      <w:szCs w:val="21"/>
    </w:rPr>
  </w:style>
  <w:style w:type="paragraph" w:styleId="24">
    <w:name w:val="toc 5"/>
    <w:basedOn w:val="1"/>
    <w:next w:val="1"/>
    <w:semiHidden/>
    <w:qFormat/>
    <w:uiPriority w:val="0"/>
    <w:pPr>
      <w:ind w:left="840"/>
      <w:jc w:val="left"/>
    </w:pPr>
    <w:rPr>
      <w:szCs w:val="21"/>
    </w:rPr>
  </w:style>
  <w:style w:type="paragraph" w:styleId="25">
    <w:name w:val="toc 3"/>
    <w:basedOn w:val="1"/>
    <w:next w:val="1"/>
    <w:semiHidden/>
    <w:qFormat/>
    <w:uiPriority w:val="0"/>
    <w:pPr>
      <w:ind w:left="420"/>
      <w:jc w:val="left"/>
    </w:pPr>
    <w:rPr>
      <w:i/>
      <w:iCs/>
      <w:szCs w:val="24"/>
    </w:rPr>
  </w:style>
  <w:style w:type="paragraph" w:styleId="26">
    <w:name w:val="Plain Text"/>
    <w:basedOn w:val="1"/>
    <w:link w:val="259"/>
    <w:qFormat/>
    <w:uiPriority w:val="0"/>
    <w:rPr>
      <w:rFonts w:ascii="宋体" w:hAnsi="Courier New" w:cs="Courier New"/>
      <w:szCs w:val="21"/>
    </w:rPr>
  </w:style>
  <w:style w:type="paragraph" w:styleId="27">
    <w:name w:val="toc 8"/>
    <w:basedOn w:val="1"/>
    <w:next w:val="1"/>
    <w:semiHidden/>
    <w:qFormat/>
    <w:uiPriority w:val="0"/>
    <w:pPr>
      <w:ind w:left="1470"/>
      <w:jc w:val="left"/>
    </w:pPr>
    <w:rPr>
      <w:szCs w:val="21"/>
    </w:rPr>
  </w:style>
  <w:style w:type="paragraph" w:styleId="28">
    <w:name w:val="Date"/>
    <w:basedOn w:val="1"/>
    <w:next w:val="1"/>
    <w:link w:val="260"/>
    <w:qFormat/>
    <w:uiPriority w:val="0"/>
    <w:rPr>
      <w:sz w:val="24"/>
      <w:szCs w:val="24"/>
    </w:rPr>
  </w:style>
  <w:style w:type="paragraph" w:styleId="29">
    <w:name w:val="Body Text Indent 2"/>
    <w:basedOn w:val="1"/>
    <w:link w:val="261"/>
    <w:qFormat/>
    <w:uiPriority w:val="0"/>
    <w:pPr>
      <w:ind w:left="630" w:firstLine="645"/>
    </w:pPr>
    <w:rPr>
      <w:rFonts w:ascii="Arial" w:hAnsi="Arial" w:eastAsia="仿宋_GB2312" w:cs="Arial"/>
      <w:sz w:val="32"/>
      <w:szCs w:val="32"/>
    </w:rPr>
  </w:style>
  <w:style w:type="paragraph" w:styleId="30">
    <w:name w:val="endnote text"/>
    <w:basedOn w:val="1"/>
    <w:link w:val="242"/>
    <w:semiHidden/>
    <w:unhideWhenUsed/>
    <w:qFormat/>
    <w:uiPriority w:val="99"/>
    <w:rPr>
      <w:sz w:val="20"/>
    </w:rPr>
  </w:style>
  <w:style w:type="paragraph" w:styleId="31">
    <w:name w:val="Balloon Text"/>
    <w:basedOn w:val="1"/>
    <w:link w:val="262"/>
    <w:semiHidden/>
    <w:qFormat/>
    <w:uiPriority w:val="0"/>
    <w:rPr>
      <w:sz w:val="18"/>
      <w:szCs w:val="18"/>
    </w:rPr>
  </w:style>
  <w:style w:type="paragraph" w:styleId="32">
    <w:name w:val="footer"/>
    <w:basedOn w:val="1"/>
    <w:link w:val="263"/>
    <w:qFormat/>
    <w:uiPriority w:val="0"/>
    <w:pPr>
      <w:tabs>
        <w:tab w:val="center" w:pos="4153"/>
        <w:tab w:val="right" w:pos="8306"/>
      </w:tabs>
      <w:jc w:val="left"/>
    </w:pPr>
    <w:rPr>
      <w:sz w:val="18"/>
      <w:szCs w:val="18"/>
    </w:rPr>
  </w:style>
  <w:style w:type="paragraph" w:styleId="33">
    <w:name w:val="header"/>
    <w:basedOn w:val="1"/>
    <w:link w:val="264"/>
    <w:qFormat/>
    <w:uiPriority w:val="0"/>
    <w:pPr>
      <w:pBdr>
        <w:bottom w:val="single" w:color="000000" w:sz="6" w:space="1"/>
      </w:pBdr>
      <w:tabs>
        <w:tab w:val="center" w:pos="4153"/>
        <w:tab w:val="right" w:pos="8306"/>
      </w:tabs>
      <w:jc w:val="center"/>
    </w:pPr>
    <w:rPr>
      <w:sz w:val="18"/>
      <w:szCs w:val="18"/>
    </w:rPr>
  </w:style>
  <w:style w:type="paragraph" w:styleId="34">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5">
    <w:name w:val="toc 4"/>
    <w:basedOn w:val="1"/>
    <w:next w:val="1"/>
    <w:semiHidden/>
    <w:qFormat/>
    <w:uiPriority w:val="0"/>
    <w:pPr>
      <w:ind w:left="630"/>
      <w:jc w:val="left"/>
    </w:pPr>
    <w:rPr>
      <w:szCs w:val="21"/>
    </w:rPr>
  </w:style>
  <w:style w:type="paragraph" w:styleId="36">
    <w:name w:val="Subtitle"/>
    <w:basedOn w:val="1"/>
    <w:next w:val="1"/>
    <w:link w:val="108"/>
    <w:qFormat/>
    <w:uiPriority w:val="11"/>
    <w:pPr>
      <w:spacing w:before="200" w:after="200"/>
    </w:pPr>
    <w:rPr>
      <w:sz w:val="24"/>
      <w:szCs w:val="24"/>
    </w:rPr>
  </w:style>
  <w:style w:type="paragraph" w:styleId="37">
    <w:name w:val="List"/>
    <w:basedOn w:val="1"/>
    <w:qFormat/>
    <w:uiPriority w:val="0"/>
    <w:pPr>
      <w:ind w:left="200" w:hanging="200"/>
    </w:pPr>
    <w:rPr>
      <w:szCs w:val="21"/>
    </w:rPr>
  </w:style>
  <w:style w:type="paragraph" w:styleId="38">
    <w:name w:val="footnote text"/>
    <w:basedOn w:val="1"/>
    <w:link w:val="241"/>
    <w:semiHidden/>
    <w:unhideWhenUsed/>
    <w:qFormat/>
    <w:uiPriority w:val="99"/>
    <w:pPr>
      <w:spacing w:after="40"/>
    </w:pPr>
    <w:rPr>
      <w:sz w:val="18"/>
    </w:rPr>
  </w:style>
  <w:style w:type="paragraph" w:styleId="39">
    <w:name w:val="toc 6"/>
    <w:basedOn w:val="1"/>
    <w:next w:val="1"/>
    <w:semiHidden/>
    <w:qFormat/>
    <w:uiPriority w:val="0"/>
    <w:pPr>
      <w:ind w:left="1050"/>
      <w:jc w:val="left"/>
    </w:pPr>
    <w:rPr>
      <w:szCs w:val="21"/>
    </w:rPr>
  </w:style>
  <w:style w:type="paragraph" w:styleId="40">
    <w:name w:val="Body Text Indent 3"/>
    <w:basedOn w:val="1"/>
    <w:link w:val="265"/>
    <w:qFormat/>
    <w:uiPriority w:val="0"/>
    <w:pPr>
      <w:ind w:left="645" w:firstLine="645"/>
    </w:pPr>
    <w:rPr>
      <w:rFonts w:ascii="Arial" w:hAnsi="Arial" w:eastAsia="仿宋_GB2312" w:cs="Arial"/>
      <w:color w:val="FFFF00"/>
      <w:sz w:val="32"/>
      <w:szCs w:val="32"/>
    </w:rPr>
  </w:style>
  <w:style w:type="paragraph" w:styleId="41">
    <w:name w:val="table of figures"/>
    <w:basedOn w:val="1"/>
    <w:next w:val="1"/>
    <w:semiHidden/>
    <w:qFormat/>
    <w:uiPriority w:val="0"/>
    <w:pPr>
      <w:ind w:left="840" w:hanging="420"/>
    </w:pPr>
    <w:rPr>
      <w:szCs w:val="21"/>
    </w:rPr>
  </w:style>
  <w:style w:type="paragraph" w:styleId="42">
    <w:name w:val="toc 2"/>
    <w:basedOn w:val="1"/>
    <w:next w:val="1"/>
    <w:semiHidden/>
    <w:qFormat/>
    <w:uiPriority w:val="0"/>
    <w:pPr>
      <w:ind w:left="210"/>
      <w:jc w:val="left"/>
    </w:pPr>
    <w:rPr>
      <w:smallCaps/>
      <w:szCs w:val="24"/>
    </w:rPr>
  </w:style>
  <w:style w:type="paragraph" w:styleId="43">
    <w:name w:val="toc 9"/>
    <w:basedOn w:val="1"/>
    <w:next w:val="1"/>
    <w:semiHidden/>
    <w:qFormat/>
    <w:uiPriority w:val="0"/>
    <w:pPr>
      <w:ind w:left="1680"/>
      <w:jc w:val="left"/>
    </w:pPr>
    <w:rPr>
      <w:szCs w:val="21"/>
    </w:rPr>
  </w:style>
  <w:style w:type="paragraph" w:styleId="44">
    <w:name w:val="Body Text 2"/>
    <w:basedOn w:val="1"/>
    <w:link w:val="266"/>
    <w:qFormat/>
    <w:uiPriority w:val="0"/>
    <w:pPr>
      <w:widowControl/>
      <w:jc w:val="center"/>
    </w:pPr>
    <w:rPr>
      <w:rFonts w:ascii="楷体_GB2312" w:eastAsia="楷体_GB2312"/>
      <w:sz w:val="28"/>
      <w:szCs w:val="28"/>
    </w:rPr>
  </w:style>
  <w:style w:type="paragraph" w:styleId="45">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6">
    <w:name w:val="index 1"/>
    <w:basedOn w:val="1"/>
    <w:next w:val="1"/>
    <w:semiHidden/>
    <w:qFormat/>
    <w:uiPriority w:val="0"/>
    <w:pPr>
      <w:spacing w:line="240" w:lineRule="atLeast"/>
    </w:pPr>
    <w:rPr>
      <w:b/>
      <w:bCs/>
      <w:szCs w:val="21"/>
    </w:rPr>
  </w:style>
  <w:style w:type="paragraph" w:styleId="47">
    <w:name w:val="Title"/>
    <w:basedOn w:val="1"/>
    <w:next w:val="1"/>
    <w:link w:val="107"/>
    <w:qFormat/>
    <w:uiPriority w:val="10"/>
    <w:pPr>
      <w:spacing w:before="300" w:after="200"/>
      <w:contextualSpacing/>
    </w:pPr>
    <w:rPr>
      <w:sz w:val="48"/>
      <w:szCs w:val="48"/>
    </w:rPr>
  </w:style>
  <w:style w:type="paragraph" w:styleId="48">
    <w:name w:val="annotation subject"/>
    <w:basedOn w:val="16"/>
    <w:next w:val="16"/>
    <w:link w:val="267"/>
    <w:semiHidden/>
    <w:qFormat/>
    <w:uiPriority w:val="0"/>
    <w:rPr>
      <w:b/>
      <w:bCs/>
      <w:szCs w:val="21"/>
    </w:rPr>
  </w:style>
  <w:style w:type="paragraph" w:styleId="49">
    <w:name w:val="Body Text First Indent"/>
    <w:basedOn w:val="1"/>
    <w:link w:val="268"/>
    <w:qFormat/>
    <w:uiPriority w:val="0"/>
    <w:pPr>
      <w:spacing w:line="360" w:lineRule="auto"/>
      <w:ind w:firstLine="200"/>
    </w:pPr>
    <w:rPr>
      <w:rFonts w:ascii="仿宋_GB2312" w:eastAsia="仿宋_GB2312"/>
      <w:sz w:val="30"/>
      <w:szCs w:val="30"/>
    </w:rPr>
  </w:style>
  <w:style w:type="paragraph" w:styleId="50">
    <w:name w:val="Body Text First Indent 2"/>
    <w:basedOn w:val="19"/>
    <w:link w:val="269"/>
    <w:qFormat/>
    <w:uiPriority w:val="0"/>
    <w:pPr>
      <w:spacing w:after="0" w:line="360" w:lineRule="auto"/>
      <w:ind w:left="0" w:firstLine="420"/>
    </w:pPr>
    <w:rPr>
      <w:rFonts w:ascii="宋体" w:hAnsi="宋体"/>
      <w:szCs w:val="20"/>
    </w:rPr>
  </w:style>
  <w:style w:type="table" w:styleId="52">
    <w:name w:val="Table Grid"/>
    <w:basedOn w:val="5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4">
    <w:name w:val="Strong"/>
    <w:qFormat/>
    <w:uiPriority w:val="0"/>
    <w:rPr>
      <w:b/>
      <w:bCs/>
    </w:rPr>
  </w:style>
  <w:style w:type="character" w:styleId="55">
    <w:name w:val="endnote reference"/>
    <w:semiHidden/>
    <w:unhideWhenUsed/>
    <w:qFormat/>
    <w:uiPriority w:val="99"/>
    <w:rPr>
      <w:vertAlign w:val="superscript"/>
    </w:rPr>
  </w:style>
  <w:style w:type="character" w:styleId="56">
    <w:name w:val="page number"/>
    <w:qFormat/>
    <w:uiPriority w:val="0"/>
  </w:style>
  <w:style w:type="character" w:styleId="57">
    <w:name w:val="Hyperlink"/>
    <w:qFormat/>
    <w:uiPriority w:val="0"/>
    <w:rPr>
      <w:color w:val="0000FF"/>
      <w:u w:val="single"/>
    </w:rPr>
  </w:style>
  <w:style w:type="character" w:styleId="58">
    <w:name w:val="annotation reference"/>
    <w:semiHidden/>
    <w:qFormat/>
    <w:uiPriority w:val="0"/>
    <w:rPr>
      <w:sz w:val="21"/>
      <w:szCs w:val="21"/>
    </w:rPr>
  </w:style>
  <w:style w:type="character" w:styleId="59">
    <w:name w:val="footnote reference"/>
    <w:unhideWhenUsed/>
    <w:qFormat/>
    <w:uiPriority w:val="99"/>
    <w:rPr>
      <w:vertAlign w:val="superscript"/>
    </w:rPr>
  </w:style>
  <w:style w:type="table" w:customStyle="1" w:styleId="60">
    <w:name w:val="Plain Table 1"/>
    <w:basedOn w:val="5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5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5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5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5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5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2"/>
    <w:basedOn w:val="5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3"/>
    <w:basedOn w:val="5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4"/>
    <w:basedOn w:val="5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5 Dark"/>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0">
    <w:name w:val="Grid Table 6 Colorful"/>
    <w:basedOn w:val="5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Grid Table 7 Colorful"/>
    <w:basedOn w:val="5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List Table 1 Light"/>
    <w:basedOn w:val="5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3">
    <w:name w:val="List Table 2"/>
    <w:basedOn w:val="5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3"/>
    <w:basedOn w:val="5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5">
    <w:name w:val="List Table 4"/>
    <w:basedOn w:val="5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5 Dark"/>
    <w:basedOn w:val="5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7">
    <w:name w:val="List Table 6 Colorful"/>
    <w:basedOn w:val="5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8">
    <w:name w:val="List Table 7 Colorful"/>
    <w:basedOn w:val="5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9">
    <w:name w:val="TOC Heading"/>
    <w:unhideWhenUsed/>
    <w:qFormat/>
    <w:uiPriority w:val="39"/>
    <w:rPr>
      <w:rFonts w:hint="default" w:ascii="Times New Roman" w:hAnsi="Times New Roman" w:eastAsia="宋体" w:cs="Times New Roman"/>
    </w:rPr>
  </w:style>
  <w:style w:type="paragraph" w:customStyle="1" w:styleId="80">
    <w:name w:val="Heading 3"/>
    <w:basedOn w:val="1"/>
    <w:next w:val="1"/>
    <w:qFormat/>
    <w:uiPriority w:val="0"/>
    <w:pPr>
      <w:keepNext/>
      <w:keepLines/>
      <w:numPr>
        <w:ilvl w:val="2"/>
        <w:numId w:val="1"/>
      </w:numPr>
      <w:spacing w:before="260" w:after="260" w:line="416" w:lineRule="atLeast"/>
      <w:outlineLvl w:val="2"/>
    </w:pPr>
    <w:rPr>
      <w:b/>
      <w:bCs/>
      <w:sz w:val="32"/>
      <w:szCs w:val="32"/>
    </w:rPr>
  </w:style>
  <w:style w:type="paragraph" w:customStyle="1" w:styleId="81">
    <w:name w:val="Default"/>
    <w:qFormat/>
    <w:uiPriority w:val="0"/>
    <w:pPr>
      <w:widowControl w:val="0"/>
    </w:pPr>
    <w:rPr>
      <w:rFonts w:hint="default" w:ascii="仿宋_GB2312" w:hAnsi="Times New Roman" w:eastAsia="仿宋_GB2312" w:cs="Times New Roman"/>
      <w:color w:val="000000"/>
      <w:sz w:val="24"/>
      <w:szCs w:val="24"/>
      <w:lang w:val="en-US" w:eastAsia="zh-CN" w:bidi="ar-SA"/>
    </w:rPr>
  </w:style>
  <w:style w:type="paragraph" w:customStyle="1" w:styleId="82">
    <w:name w:val="正文1"/>
    <w:basedOn w:val="83"/>
    <w:qFormat/>
    <w:uiPriority w:val="0"/>
    <w:pPr>
      <w:spacing w:line="400" w:lineRule="exact"/>
      <w:ind w:firstLine="420"/>
    </w:pPr>
    <w:rPr>
      <w:rFonts w:ascii="宋体" w:hAnsi="宋体"/>
      <w:szCs w:val="21"/>
    </w:rPr>
  </w:style>
  <w:style w:type="paragraph" w:customStyle="1" w:styleId="83">
    <w:name w:val="正文11"/>
    <w:next w:val="84"/>
    <w:qFormat/>
    <w:uiPriority w:val="0"/>
    <w:pPr>
      <w:spacing w:line="856" w:lineRule="atLeast"/>
      <w:jc w:val="both"/>
    </w:pPr>
    <w:rPr>
      <w:rFonts w:hint="default" w:ascii="Times New Roman" w:hAnsi="Times New Roman" w:eastAsia="宋体" w:cs="Times New Roman"/>
      <w:color w:val="000000"/>
      <w:sz w:val="21"/>
      <w:lang w:val="en-US" w:eastAsia="zh-CN" w:bidi="ar-SA"/>
    </w:rPr>
  </w:style>
  <w:style w:type="paragraph" w:customStyle="1" w:styleId="84">
    <w:name w:val="文本块1"/>
    <w:basedOn w:val="83"/>
    <w:qFormat/>
    <w:uiPriority w:val="0"/>
    <w:pPr>
      <w:ind w:left="256" w:right="6" w:firstLine="624"/>
    </w:pPr>
    <w:rPr>
      <w:rFonts w:eastAsia="仿宋"/>
      <w:sz w:val="28"/>
    </w:rPr>
  </w:style>
  <w:style w:type="paragraph" w:customStyle="1" w:styleId="85">
    <w:name w:val="样式 标题 3 + (中文) 黑体 小四 非加粗 段前: 7.8 磅 段后: 0 磅 行距: 固定值 20 磅_0"/>
    <w:basedOn w:val="86"/>
    <w:qFormat/>
    <w:uiPriority w:val="0"/>
    <w:pPr>
      <w:spacing w:before="0" w:after="0" w:line="400" w:lineRule="exact"/>
    </w:pPr>
    <w:rPr>
      <w:rFonts w:ascii="Times New Roman" w:hAnsi="Times New Roman" w:eastAsia="黑体" w:cs="宋体"/>
      <w:b w:val="0"/>
      <w:bCs w:val="0"/>
      <w:sz w:val="21"/>
      <w:szCs w:val="20"/>
    </w:rPr>
  </w:style>
  <w:style w:type="paragraph" w:customStyle="1" w:styleId="86">
    <w:name w:val="标题 3_0"/>
    <w:basedOn w:val="87"/>
    <w:next w:val="88"/>
    <w:qFormat/>
    <w:uiPriority w:val="0"/>
    <w:pPr>
      <w:keepNext/>
      <w:keepLines/>
      <w:spacing w:before="260" w:after="260" w:line="416" w:lineRule="auto"/>
      <w:outlineLvl w:val="2"/>
    </w:pPr>
    <w:rPr>
      <w:rFonts w:eastAsia="宋体"/>
      <w:b/>
      <w:bCs/>
      <w:sz w:val="32"/>
      <w:szCs w:val="32"/>
    </w:rPr>
  </w:style>
  <w:style w:type="paragraph" w:customStyle="1" w:styleId="87">
    <w:name w:val="正文_0"/>
    <w:next w:val="50"/>
    <w:qFormat/>
    <w:uiPriority w:val="0"/>
    <w:pPr>
      <w:widowControl w:val="0"/>
      <w:jc w:val="both"/>
    </w:pPr>
    <w:rPr>
      <w:rFonts w:hint="default" w:ascii="Calibri" w:hAnsi="Calibri" w:eastAsia="仿宋_GB2312" w:cs="Times New Roman"/>
      <w:sz w:val="21"/>
      <w:szCs w:val="22"/>
      <w:lang w:val="en-US" w:eastAsia="zh-CN" w:bidi="ar-SA"/>
    </w:rPr>
  </w:style>
  <w:style w:type="paragraph" w:customStyle="1" w:styleId="88">
    <w:name w:val="正文_1"/>
    <w:next w:val="50"/>
    <w:qFormat/>
    <w:uiPriority w:val="0"/>
    <w:pPr>
      <w:widowControl w:val="0"/>
      <w:jc w:val="both"/>
    </w:pPr>
    <w:rPr>
      <w:rFonts w:hint="default" w:ascii="Calibri" w:hAnsi="Calibri" w:eastAsia="仿宋_GB2312" w:cs="Times New Roman"/>
      <w:sz w:val="21"/>
      <w:szCs w:val="22"/>
      <w:lang w:val="en-US" w:eastAsia="zh-CN" w:bidi="ar-SA"/>
    </w:rPr>
  </w:style>
  <w:style w:type="character" w:customStyle="1" w:styleId="89">
    <w:name w:val="Title Char"/>
    <w:basedOn w:val="53"/>
    <w:qFormat/>
    <w:uiPriority w:val="10"/>
    <w:rPr>
      <w:sz w:val="48"/>
      <w:szCs w:val="48"/>
    </w:rPr>
  </w:style>
  <w:style w:type="character" w:customStyle="1" w:styleId="90">
    <w:name w:val="Subtitle Char"/>
    <w:basedOn w:val="53"/>
    <w:qFormat/>
    <w:uiPriority w:val="11"/>
    <w:rPr>
      <w:sz w:val="24"/>
      <w:szCs w:val="24"/>
    </w:rPr>
  </w:style>
  <w:style w:type="character" w:customStyle="1" w:styleId="91">
    <w:name w:val="Quote Char"/>
    <w:qFormat/>
    <w:uiPriority w:val="29"/>
    <w:rPr>
      <w:i/>
    </w:rPr>
  </w:style>
  <w:style w:type="character" w:customStyle="1" w:styleId="92">
    <w:name w:val="Intense Quote Char"/>
    <w:qFormat/>
    <w:uiPriority w:val="30"/>
    <w:rPr>
      <w:i/>
    </w:rPr>
  </w:style>
  <w:style w:type="character" w:customStyle="1" w:styleId="93">
    <w:name w:val="Footnote Text Char"/>
    <w:qFormat/>
    <w:uiPriority w:val="99"/>
    <w:rPr>
      <w:sz w:val="18"/>
    </w:rPr>
  </w:style>
  <w:style w:type="character" w:customStyle="1" w:styleId="94">
    <w:name w:val="Endnote Text Char"/>
    <w:qFormat/>
    <w:uiPriority w:val="99"/>
    <w:rPr>
      <w:sz w:val="20"/>
    </w:rPr>
  </w:style>
  <w:style w:type="paragraph" w:customStyle="1" w:styleId="95">
    <w:name w:val="TOC 标题1"/>
    <w:unhideWhenUsed/>
    <w:qFormat/>
    <w:uiPriority w:val="39"/>
    <w:rPr>
      <w:rFonts w:hint="default" w:ascii="Times New Roman" w:hAnsi="Times New Roman" w:eastAsia="宋体" w:cs="Times New Roman"/>
      <w:lang w:val="en-US" w:eastAsia="zh-CN" w:bidi="ar-SA"/>
    </w:rPr>
  </w:style>
  <w:style w:type="character" w:customStyle="1" w:styleId="96">
    <w:name w:val="Heading 1 Char"/>
    <w:qFormat/>
    <w:uiPriority w:val="9"/>
    <w:rPr>
      <w:rFonts w:ascii="Arial" w:hAnsi="Arial" w:eastAsia="Arial" w:cs="Arial"/>
      <w:sz w:val="40"/>
      <w:szCs w:val="40"/>
    </w:rPr>
  </w:style>
  <w:style w:type="character" w:customStyle="1" w:styleId="97">
    <w:name w:val="Heading 2 Char"/>
    <w:qFormat/>
    <w:uiPriority w:val="9"/>
    <w:rPr>
      <w:rFonts w:ascii="Arial" w:hAnsi="Arial" w:eastAsia="Arial" w:cs="Arial"/>
      <w:sz w:val="34"/>
    </w:rPr>
  </w:style>
  <w:style w:type="character" w:customStyle="1" w:styleId="98">
    <w:name w:val="Heading 3 Char"/>
    <w:qFormat/>
    <w:uiPriority w:val="9"/>
    <w:rPr>
      <w:rFonts w:ascii="Arial" w:hAnsi="Arial" w:eastAsia="Arial" w:cs="Arial"/>
      <w:sz w:val="30"/>
      <w:szCs w:val="30"/>
    </w:rPr>
  </w:style>
  <w:style w:type="character" w:customStyle="1" w:styleId="99">
    <w:name w:val="Heading 4 Char"/>
    <w:qFormat/>
    <w:uiPriority w:val="9"/>
    <w:rPr>
      <w:rFonts w:ascii="Arial" w:hAnsi="Arial" w:eastAsia="Arial" w:cs="Arial"/>
      <w:b/>
      <w:bCs/>
      <w:sz w:val="26"/>
      <w:szCs w:val="26"/>
    </w:rPr>
  </w:style>
  <w:style w:type="character" w:customStyle="1" w:styleId="100">
    <w:name w:val="Heading 5 Char"/>
    <w:qFormat/>
    <w:uiPriority w:val="9"/>
    <w:rPr>
      <w:rFonts w:ascii="Arial" w:hAnsi="Arial" w:eastAsia="Arial" w:cs="Arial"/>
      <w:b/>
      <w:bCs/>
      <w:sz w:val="24"/>
      <w:szCs w:val="24"/>
    </w:rPr>
  </w:style>
  <w:style w:type="character" w:customStyle="1" w:styleId="101">
    <w:name w:val="Heading 6 Char"/>
    <w:qFormat/>
    <w:uiPriority w:val="9"/>
    <w:rPr>
      <w:rFonts w:ascii="Arial" w:hAnsi="Arial" w:eastAsia="Arial" w:cs="Arial"/>
      <w:b/>
      <w:bCs/>
      <w:sz w:val="22"/>
      <w:szCs w:val="22"/>
    </w:rPr>
  </w:style>
  <w:style w:type="character" w:customStyle="1" w:styleId="102">
    <w:name w:val="Heading 7 Char"/>
    <w:qFormat/>
    <w:uiPriority w:val="9"/>
    <w:rPr>
      <w:rFonts w:ascii="Arial" w:hAnsi="Arial" w:eastAsia="Arial" w:cs="Arial"/>
      <w:b/>
      <w:bCs/>
      <w:i/>
      <w:iCs/>
      <w:sz w:val="22"/>
      <w:szCs w:val="22"/>
    </w:rPr>
  </w:style>
  <w:style w:type="character" w:customStyle="1" w:styleId="103">
    <w:name w:val="Heading 8 Char"/>
    <w:qFormat/>
    <w:uiPriority w:val="9"/>
    <w:rPr>
      <w:rFonts w:ascii="Arial" w:hAnsi="Arial" w:eastAsia="Arial" w:cs="Arial"/>
      <w:i/>
      <w:iCs/>
      <w:sz w:val="22"/>
      <w:szCs w:val="22"/>
    </w:rPr>
  </w:style>
  <w:style w:type="character" w:customStyle="1" w:styleId="104">
    <w:name w:val="Heading 9 Char"/>
    <w:qFormat/>
    <w:uiPriority w:val="9"/>
    <w:rPr>
      <w:rFonts w:ascii="Arial" w:hAnsi="Arial" w:eastAsia="Arial" w:cs="Arial"/>
      <w:i/>
      <w:iCs/>
      <w:sz w:val="21"/>
      <w:szCs w:val="21"/>
    </w:rPr>
  </w:style>
  <w:style w:type="paragraph" w:styleId="105">
    <w:name w:val="List Paragraph"/>
    <w:basedOn w:val="1"/>
    <w:qFormat/>
    <w:uiPriority w:val="0"/>
    <w:pPr>
      <w:widowControl/>
      <w:ind w:left="720"/>
      <w:contextualSpacing/>
      <w:jc w:val="left"/>
    </w:pPr>
    <w:rPr>
      <w:rFonts w:ascii="Calibri" w:hAnsi="Calibri"/>
      <w:sz w:val="24"/>
      <w:szCs w:val="24"/>
      <w:lang w:eastAsia="en-US" w:bidi="en-US"/>
    </w:rPr>
  </w:style>
  <w:style w:type="paragraph" w:styleId="106">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character" w:customStyle="1" w:styleId="107">
    <w:name w:val="标题 字符"/>
    <w:link w:val="47"/>
    <w:qFormat/>
    <w:uiPriority w:val="10"/>
    <w:rPr>
      <w:sz w:val="48"/>
      <w:szCs w:val="48"/>
    </w:rPr>
  </w:style>
  <w:style w:type="character" w:customStyle="1" w:styleId="108">
    <w:name w:val="副标题 字符"/>
    <w:link w:val="36"/>
    <w:qFormat/>
    <w:uiPriority w:val="11"/>
    <w:rPr>
      <w:sz w:val="24"/>
      <w:szCs w:val="24"/>
    </w:rPr>
  </w:style>
  <w:style w:type="paragraph" w:styleId="109">
    <w:name w:val="Quote"/>
    <w:basedOn w:val="1"/>
    <w:next w:val="1"/>
    <w:link w:val="110"/>
    <w:qFormat/>
    <w:uiPriority w:val="29"/>
    <w:pPr>
      <w:ind w:left="720" w:right="720"/>
    </w:pPr>
    <w:rPr>
      <w:i/>
    </w:rPr>
  </w:style>
  <w:style w:type="character" w:customStyle="1" w:styleId="110">
    <w:name w:val="引用 字符"/>
    <w:link w:val="109"/>
    <w:qFormat/>
    <w:uiPriority w:val="29"/>
    <w:rPr>
      <w:i/>
    </w:rPr>
  </w:style>
  <w:style w:type="paragraph" w:styleId="111">
    <w:name w:val="Intense Quote"/>
    <w:basedOn w:val="1"/>
    <w:next w:val="1"/>
    <w:link w:val="11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2">
    <w:name w:val="明显引用 字符"/>
    <w:link w:val="111"/>
    <w:qFormat/>
    <w:uiPriority w:val="30"/>
    <w:rPr>
      <w:i/>
    </w:rPr>
  </w:style>
  <w:style w:type="character" w:customStyle="1" w:styleId="113">
    <w:name w:val="Header Char"/>
    <w:qFormat/>
    <w:uiPriority w:val="99"/>
  </w:style>
  <w:style w:type="character" w:customStyle="1" w:styleId="114">
    <w:name w:val="Footer Char"/>
    <w:qFormat/>
    <w:uiPriority w:val="99"/>
  </w:style>
  <w:style w:type="character" w:customStyle="1" w:styleId="115">
    <w:name w:val="Caption Char"/>
    <w:qFormat/>
    <w:uiPriority w:val="99"/>
  </w:style>
  <w:style w:type="table" w:customStyle="1" w:styleId="116">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7">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8">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19">
    <w:name w:val="无格式表格 31"/>
    <w:qFormat/>
    <w:uiPriority w:val="99"/>
    <w:tblPr>
      <w:tblCellMar>
        <w:top w:w="0" w:type="dxa"/>
        <w:left w:w="0" w:type="dxa"/>
        <w:bottom w:w="0" w:type="dxa"/>
        <w:right w:w="0" w:type="dxa"/>
      </w:tblCellMar>
    </w:tblPr>
  </w:style>
  <w:style w:type="table" w:customStyle="1" w:styleId="120">
    <w:name w:val="无格式表格 41"/>
    <w:qFormat/>
    <w:uiPriority w:val="99"/>
    <w:tblPr>
      <w:tblCellMar>
        <w:top w:w="0" w:type="dxa"/>
        <w:left w:w="0" w:type="dxa"/>
        <w:bottom w:w="0" w:type="dxa"/>
        <w:right w:w="0" w:type="dxa"/>
      </w:tblCellMar>
    </w:tblPr>
  </w:style>
  <w:style w:type="table" w:customStyle="1" w:styleId="121">
    <w:name w:val="无格式表格 51"/>
    <w:qFormat/>
    <w:uiPriority w:val="99"/>
    <w:tblPr>
      <w:tblCellMar>
        <w:top w:w="0" w:type="dxa"/>
        <w:left w:w="0" w:type="dxa"/>
        <w:bottom w:w="0" w:type="dxa"/>
        <w:right w:w="0" w:type="dxa"/>
      </w:tblCellMar>
    </w:tblPr>
  </w:style>
  <w:style w:type="table" w:customStyle="1" w:styleId="122">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23">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24">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25">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26">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27">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28">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29">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30">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31">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2">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3">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4">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5">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6">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37">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38">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9">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0">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1">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2">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3">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44">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45">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46">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47">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48">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9">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0">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1">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2">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3">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4">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5">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6">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7">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8">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9">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0">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1">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2">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63">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64">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65">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66">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7">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8">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9">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70">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71">
    <w:name w:val="清单表 1 浅色1"/>
    <w:qFormat/>
    <w:uiPriority w:val="99"/>
    <w:tblPr>
      <w:tblCellMar>
        <w:top w:w="0" w:type="dxa"/>
        <w:left w:w="0" w:type="dxa"/>
        <w:bottom w:w="0" w:type="dxa"/>
        <w:right w:w="0" w:type="dxa"/>
      </w:tblCellMar>
    </w:tblPr>
  </w:style>
  <w:style w:type="table" w:customStyle="1" w:styleId="172">
    <w:name w:val="List Table 1 Light - Accent 1"/>
    <w:qFormat/>
    <w:uiPriority w:val="99"/>
    <w:tblPr>
      <w:tblCellMar>
        <w:top w:w="0" w:type="dxa"/>
        <w:left w:w="0" w:type="dxa"/>
        <w:bottom w:w="0" w:type="dxa"/>
        <w:right w:w="0" w:type="dxa"/>
      </w:tblCellMar>
    </w:tblPr>
  </w:style>
  <w:style w:type="table" w:customStyle="1" w:styleId="173">
    <w:name w:val="List Table 1 Light - Accent 2"/>
    <w:qFormat/>
    <w:uiPriority w:val="99"/>
    <w:tblPr>
      <w:tblCellMar>
        <w:top w:w="0" w:type="dxa"/>
        <w:left w:w="0" w:type="dxa"/>
        <w:bottom w:w="0" w:type="dxa"/>
        <w:right w:w="0" w:type="dxa"/>
      </w:tblCellMar>
    </w:tblPr>
  </w:style>
  <w:style w:type="table" w:customStyle="1" w:styleId="174">
    <w:name w:val="List Table 1 Light - Accent 3"/>
    <w:qFormat/>
    <w:uiPriority w:val="99"/>
    <w:tblPr>
      <w:tblCellMar>
        <w:top w:w="0" w:type="dxa"/>
        <w:left w:w="0" w:type="dxa"/>
        <w:bottom w:w="0" w:type="dxa"/>
        <w:right w:w="0" w:type="dxa"/>
      </w:tblCellMar>
    </w:tblPr>
  </w:style>
  <w:style w:type="table" w:customStyle="1" w:styleId="175">
    <w:name w:val="List Table 1 Light - Accent 4"/>
    <w:qFormat/>
    <w:uiPriority w:val="99"/>
    <w:tblPr>
      <w:tblCellMar>
        <w:top w:w="0" w:type="dxa"/>
        <w:left w:w="0" w:type="dxa"/>
        <w:bottom w:w="0" w:type="dxa"/>
        <w:right w:w="0" w:type="dxa"/>
      </w:tblCellMar>
    </w:tblPr>
  </w:style>
  <w:style w:type="table" w:customStyle="1" w:styleId="176">
    <w:name w:val="List Table 1 Light - Accent 5"/>
    <w:qFormat/>
    <w:uiPriority w:val="99"/>
    <w:tblPr>
      <w:tblCellMar>
        <w:top w:w="0" w:type="dxa"/>
        <w:left w:w="0" w:type="dxa"/>
        <w:bottom w:w="0" w:type="dxa"/>
        <w:right w:w="0" w:type="dxa"/>
      </w:tblCellMar>
    </w:tblPr>
  </w:style>
  <w:style w:type="table" w:customStyle="1" w:styleId="177">
    <w:name w:val="List Table 1 Light - Accent 6"/>
    <w:qFormat/>
    <w:uiPriority w:val="99"/>
    <w:tblPr>
      <w:tblCellMar>
        <w:top w:w="0" w:type="dxa"/>
        <w:left w:w="0" w:type="dxa"/>
        <w:bottom w:w="0" w:type="dxa"/>
        <w:right w:w="0" w:type="dxa"/>
      </w:tblCellMar>
    </w:tblPr>
  </w:style>
  <w:style w:type="table" w:customStyle="1" w:styleId="178">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79">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80">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81">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82">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83">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84">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85">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86">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87">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88">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89">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90">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91">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92">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93">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94">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95">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96">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97">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98">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99">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200">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201">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202">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203">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204">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05">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06">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207">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08">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09">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10">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11">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12">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13">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14">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15">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16">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17">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18">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19">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20">
    <w:name w:val="Lined - Accent"/>
    <w:qFormat/>
    <w:uiPriority w:val="99"/>
    <w:rPr>
      <w:color w:val="404040"/>
    </w:rPr>
    <w:tblPr>
      <w:tblCellMar>
        <w:top w:w="0" w:type="dxa"/>
        <w:left w:w="0" w:type="dxa"/>
        <w:bottom w:w="0" w:type="dxa"/>
        <w:right w:w="0" w:type="dxa"/>
      </w:tblCellMar>
    </w:tblPr>
  </w:style>
  <w:style w:type="table" w:customStyle="1" w:styleId="221">
    <w:name w:val="Lined - Accent 1"/>
    <w:qFormat/>
    <w:uiPriority w:val="99"/>
    <w:rPr>
      <w:color w:val="404040"/>
    </w:rPr>
    <w:tblPr>
      <w:tblCellMar>
        <w:top w:w="0" w:type="dxa"/>
        <w:left w:w="0" w:type="dxa"/>
        <w:bottom w:w="0" w:type="dxa"/>
        <w:right w:w="0" w:type="dxa"/>
      </w:tblCellMar>
    </w:tblPr>
  </w:style>
  <w:style w:type="table" w:customStyle="1" w:styleId="222">
    <w:name w:val="Lined - Accent 2"/>
    <w:qFormat/>
    <w:uiPriority w:val="99"/>
    <w:rPr>
      <w:color w:val="404040"/>
    </w:rPr>
    <w:tblPr>
      <w:tblCellMar>
        <w:top w:w="0" w:type="dxa"/>
        <w:left w:w="0" w:type="dxa"/>
        <w:bottom w:w="0" w:type="dxa"/>
        <w:right w:w="0" w:type="dxa"/>
      </w:tblCellMar>
    </w:tblPr>
  </w:style>
  <w:style w:type="table" w:customStyle="1" w:styleId="223">
    <w:name w:val="Lined - Accent 3"/>
    <w:qFormat/>
    <w:uiPriority w:val="99"/>
    <w:rPr>
      <w:color w:val="404040"/>
    </w:rPr>
    <w:tblPr>
      <w:tblCellMar>
        <w:top w:w="0" w:type="dxa"/>
        <w:left w:w="0" w:type="dxa"/>
        <w:bottom w:w="0" w:type="dxa"/>
        <w:right w:w="0" w:type="dxa"/>
      </w:tblCellMar>
    </w:tblPr>
  </w:style>
  <w:style w:type="table" w:customStyle="1" w:styleId="224">
    <w:name w:val="Lined - Accent 4"/>
    <w:qFormat/>
    <w:uiPriority w:val="99"/>
    <w:rPr>
      <w:color w:val="404040"/>
    </w:rPr>
    <w:tblPr>
      <w:tblCellMar>
        <w:top w:w="0" w:type="dxa"/>
        <w:left w:w="0" w:type="dxa"/>
        <w:bottom w:w="0" w:type="dxa"/>
        <w:right w:w="0" w:type="dxa"/>
      </w:tblCellMar>
    </w:tblPr>
  </w:style>
  <w:style w:type="table" w:customStyle="1" w:styleId="225">
    <w:name w:val="Lined - Accent 5"/>
    <w:qFormat/>
    <w:uiPriority w:val="99"/>
    <w:rPr>
      <w:color w:val="404040"/>
    </w:rPr>
    <w:tblPr>
      <w:tblCellMar>
        <w:top w:w="0" w:type="dxa"/>
        <w:left w:w="0" w:type="dxa"/>
        <w:bottom w:w="0" w:type="dxa"/>
        <w:right w:w="0" w:type="dxa"/>
      </w:tblCellMar>
    </w:tblPr>
  </w:style>
  <w:style w:type="table" w:customStyle="1" w:styleId="226">
    <w:name w:val="Lined - Accent 6"/>
    <w:qFormat/>
    <w:uiPriority w:val="99"/>
    <w:rPr>
      <w:color w:val="404040"/>
    </w:rPr>
    <w:tblPr>
      <w:tblCellMar>
        <w:top w:w="0" w:type="dxa"/>
        <w:left w:w="0" w:type="dxa"/>
        <w:bottom w:w="0" w:type="dxa"/>
        <w:right w:w="0" w:type="dxa"/>
      </w:tblCellMar>
    </w:tblPr>
  </w:style>
  <w:style w:type="table" w:customStyle="1" w:styleId="227">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28">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29">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30">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31">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32">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33">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34">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35">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36">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37">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38">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39">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40">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41">
    <w:name w:val="脚注文本 字符"/>
    <w:link w:val="38"/>
    <w:qFormat/>
    <w:uiPriority w:val="99"/>
    <w:rPr>
      <w:sz w:val="18"/>
    </w:rPr>
  </w:style>
  <w:style w:type="character" w:customStyle="1" w:styleId="242">
    <w:name w:val="尾注文本 字符"/>
    <w:link w:val="30"/>
    <w:qFormat/>
    <w:uiPriority w:val="99"/>
    <w:rPr>
      <w:sz w:val="20"/>
    </w:rPr>
  </w:style>
  <w:style w:type="paragraph" w:customStyle="1" w:styleId="243">
    <w:name w:val="TOC 标题11"/>
    <w:unhideWhenUsed/>
    <w:qFormat/>
    <w:uiPriority w:val="39"/>
    <w:rPr>
      <w:rFonts w:hint="default" w:ascii="Times New Roman" w:hAnsi="Times New Roman" w:eastAsia="宋体" w:cs="Times New Roman"/>
      <w:lang w:val="en-US" w:eastAsia="zh-CN" w:bidi="ar-SA"/>
    </w:rPr>
  </w:style>
  <w:style w:type="character" w:customStyle="1" w:styleId="244">
    <w:name w:val="标题 1 字符"/>
    <w:link w:val="2"/>
    <w:qFormat/>
    <w:uiPriority w:val="0"/>
    <w:rPr>
      <w:rFonts w:ascii="楷体_GB2312" w:hAnsi="Times New Roman" w:eastAsia="楷体_GB2312" w:cs="Times New Roman"/>
      <w:sz w:val="28"/>
      <w:szCs w:val="28"/>
    </w:rPr>
  </w:style>
  <w:style w:type="character" w:customStyle="1" w:styleId="245">
    <w:name w:val="标题 2 字符"/>
    <w:link w:val="3"/>
    <w:qFormat/>
    <w:uiPriority w:val="0"/>
    <w:rPr>
      <w:rFonts w:ascii="Arial" w:hAnsi="Arial" w:eastAsia="幼圆" w:cs="Arial"/>
      <w:b/>
      <w:bCs/>
      <w:sz w:val="44"/>
      <w:szCs w:val="44"/>
    </w:rPr>
  </w:style>
  <w:style w:type="character" w:customStyle="1" w:styleId="246">
    <w:name w:val="正文缩进 字符"/>
    <w:link w:val="6"/>
    <w:qFormat/>
    <w:uiPriority w:val="0"/>
    <w:rPr>
      <w:szCs w:val="21"/>
    </w:rPr>
  </w:style>
  <w:style w:type="character" w:customStyle="1" w:styleId="247">
    <w:name w:val="标题 3 字符"/>
    <w:link w:val="4"/>
    <w:qFormat/>
    <w:uiPriority w:val="0"/>
    <w:rPr>
      <w:rFonts w:ascii="Times New Roman" w:hAnsi="Times New Roman" w:eastAsia="宋体" w:cs="Times New Roman"/>
      <w:b/>
      <w:bCs/>
      <w:sz w:val="32"/>
      <w:szCs w:val="32"/>
    </w:rPr>
  </w:style>
  <w:style w:type="character" w:customStyle="1" w:styleId="248">
    <w:name w:val="标题 4 字符"/>
    <w:link w:val="5"/>
    <w:qFormat/>
    <w:uiPriority w:val="0"/>
    <w:rPr>
      <w:rFonts w:ascii="Arial" w:hAnsi="Arial" w:eastAsia="黑体" w:cs="Arial"/>
      <w:b/>
      <w:bCs/>
      <w:sz w:val="28"/>
      <w:szCs w:val="28"/>
    </w:rPr>
  </w:style>
  <w:style w:type="character" w:customStyle="1" w:styleId="249">
    <w:name w:val="标题 5 字符"/>
    <w:link w:val="7"/>
    <w:qFormat/>
    <w:uiPriority w:val="0"/>
    <w:rPr>
      <w:rFonts w:ascii="宋体" w:hAnsi="Times New Roman" w:eastAsia="宋体" w:cs="Times New Roman"/>
      <w:color w:val="000000"/>
      <w:sz w:val="28"/>
      <w:szCs w:val="28"/>
    </w:rPr>
  </w:style>
  <w:style w:type="character" w:customStyle="1" w:styleId="250">
    <w:name w:val="标题 6 字符"/>
    <w:link w:val="8"/>
    <w:qFormat/>
    <w:uiPriority w:val="0"/>
    <w:rPr>
      <w:rFonts w:ascii="Arial" w:hAnsi="Arial" w:eastAsia="黑体" w:cs="Times New Roman"/>
      <w:b/>
      <w:bCs/>
      <w:sz w:val="24"/>
      <w:szCs w:val="24"/>
    </w:rPr>
  </w:style>
  <w:style w:type="character" w:customStyle="1" w:styleId="251">
    <w:name w:val="标题 7 字符"/>
    <w:link w:val="9"/>
    <w:qFormat/>
    <w:uiPriority w:val="0"/>
    <w:rPr>
      <w:rFonts w:ascii="Times New Roman" w:hAnsi="Times New Roman" w:eastAsia="宋体" w:cs="Times New Roman"/>
      <w:b/>
      <w:bCs/>
      <w:sz w:val="24"/>
      <w:szCs w:val="24"/>
    </w:rPr>
  </w:style>
  <w:style w:type="character" w:customStyle="1" w:styleId="252">
    <w:name w:val="标题 8 字符"/>
    <w:link w:val="10"/>
    <w:qFormat/>
    <w:uiPriority w:val="0"/>
    <w:rPr>
      <w:rFonts w:ascii="Arial" w:hAnsi="Arial" w:eastAsia="黑体" w:cs="Times New Roman"/>
      <w:sz w:val="24"/>
      <w:szCs w:val="24"/>
    </w:rPr>
  </w:style>
  <w:style w:type="character" w:customStyle="1" w:styleId="253">
    <w:name w:val="标题 9 字符"/>
    <w:link w:val="11"/>
    <w:qFormat/>
    <w:uiPriority w:val="0"/>
    <w:rPr>
      <w:rFonts w:ascii="Arial" w:hAnsi="Arial" w:eastAsia="黑体" w:cs="Times New Roman"/>
      <w:szCs w:val="21"/>
    </w:rPr>
  </w:style>
  <w:style w:type="character" w:customStyle="1" w:styleId="254">
    <w:name w:val="文档结构图 字符"/>
    <w:link w:val="15"/>
    <w:semiHidden/>
    <w:qFormat/>
    <w:uiPriority w:val="0"/>
    <w:rPr>
      <w:rFonts w:ascii="Times New Roman" w:hAnsi="Times New Roman" w:eastAsia="宋体" w:cs="Times New Roman"/>
      <w:szCs w:val="21"/>
      <w:shd w:val="clear" w:color="auto" w:fill="000080"/>
    </w:rPr>
  </w:style>
  <w:style w:type="character" w:customStyle="1" w:styleId="255">
    <w:name w:val="批注文字 字符"/>
    <w:basedOn w:val="53"/>
    <w:link w:val="16"/>
    <w:semiHidden/>
    <w:qFormat/>
    <w:uiPriority w:val="99"/>
  </w:style>
  <w:style w:type="character" w:customStyle="1" w:styleId="256">
    <w:name w:val="正文文本 3 字符"/>
    <w:link w:val="17"/>
    <w:qFormat/>
    <w:uiPriority w:val="0"/>
    <w:rPr>
      <w:rFonts w:ascii="仿宋_GB2312" w:hAnsi="Arial" w:eastAsia="仿宋_GB2312" w:cs="Times New Roman"/>
      <w:sz w:val="32"/>
      <w:szCs w:val="32"/>
    </w:rPr>
  </w:style>
  <w:style w:type="character" w:customStyle="1" w:styleId="257">
    <w:name w:val="正文文本 字符"/>
    <w:link w:val="18"/>
    <w:qFormat/>
    <w:uiPriority w:val="0"/>
    <w:rPr>
      <w:rFonts w:ascii="楷体_GB2312" w:hAnsi="Arial" w:eastAsia="楷体_GB2312" w:cs="Times New Roman"/>
      <w:sz w:val="28"/>
      <w:szCs w:val="28"/>
    </w:rPr>
  </w:style>
  <w:style w:type="character" w:customStyle="1" w:styleId="258">
    <w:name w:val="正文文本缩进 字符"/>
    <w:basedOn w:val="53"/>
    <w:link w:val="19"/>
    <w:semiHidden/>
    <w:qFormat/>
    <w:uiPriority w:val="99"/>
  </w:style>
  <w:style w:type="character" w:customStyle="1" w:styleId="259">
    <w:name w:val="纯文本 字符"/>
    <w:link w:val="26"/>
    <w:qFormat/>
    <w:uiPriority w:val="0"/>
    <w:rPr>
      <w:rFonts w:ascii="宋体" w:hAnsi="Courier New" w:eastAsia="宋体" w:cs="Courier New"/>
      <w:szCs w:val="21"/>
    </w:rPr>
  </w:style>
  <w:style w:type="character" w:customStyle="1" w:styleId="260">
    <w:name w:val="日期 字符"/>
    <w:link w:val="28"/>
    <w:qFormat/>
    <w:uiPriority w:val="0"/>
    <w:rPr>
      <w:rFonts w:ascii="Times New Roman" w:hAnsi="Times New Roman" w:eastAsia="宋体" w:cs="Times New Roman"/>
      <w:sz w:val="24"/>
      <w:szCs w:val="24"/>
    </w:rPr>
  </w:style>
  <w:style w:type="character" w:customStyle="1" w:styleId="261">
    <w:name w:val="正文文本缩进 2 字符"/>
    <w:link w:val="29"/>
    <w:qFormat/>
    <w:uiPriority w:val="0"/>
    <w:rPr>
      <w:rFonts w:ascii="Arial" w:hAnsi="Arial" w:eastAsia="仿宋_GB2312" w:cs="Arial"/>
      <w:sz w:val="32"/>
      <w:szCs w:val="32"/>
    </w:rPr>
  </w:style>
  <w:style w:type="character" w:customStyle="1" w:styleId="262">
    <w:name w:val="批注框文本 字符"/>
    <w:link w:val="31"/>
    <w:semiHidden/>
    <w:qFormat/>
    <w:uiPriority w:val="0"/>
    <w:rPr>
      <w:rFonts w:ascii="Times New Roman" w:hAnsi="Times New Roman" w:eastAsia="宋体" w:cs="Times New Roman"/>
      <w:sz w:val="18"/>
      <w:szCs w:val="18"/>
    </w:rPr>
  </w:style>
  <w:style w:type="character" w:customStyle="1" w:styleId="263">
    <w:name w:val="页脚 字符"/>
    <w:link w:val="32"/>
    <w:qFormat/>
    <w:uiPriority w:val="0"/>
    <w:rPr>
      <w:rFonts w:ascii="Times New Roman" w:hAnsi="Times New Roman" w:eastAsia="宋体" w:cs="Times New Roman"/>
      <w:sz w:val="18"/>
      <w:szCs w:val="18"/>
    </w:rPr>
  </w:style>
  <w:style w:type="character" w:customStyle="1" w:styleId="264">
    <w:name w:val="页眉 字符"/>
    <w:link w:val="33"/>
    <w:qFormat/>
    <w:uiPriority w:val="0"/>
    <w:rPr>
      <w:rFonts w:ascii="Times New Roman" w:hAnsi="Times New Roman" w:eastAsia="宋体" w:cs="Times New Roman"/>
      <w:sz w:val="18"/>
      <w:szCs w:val="18"/>
    </w:rPr>
  </w:style>
  <w:style w:type="character" w:customStyle="1" w:styleId="265">
    <w:name w:val="正文文本缩进 3 字符"/>
    <w:link w:val="40"/>
    <w:qFormat/>
    <w:uiPriority w:val="0"/>
    <w:rPr>
      <w:rFonts w:ascii="Arial" w:hAnsi="Arial" w:eastAsia="仿宋_GB2312" w:cs="Arial"/>
      <w:color w:val="FFFF00"/>
      <w:sz w:val="32"/>
      <w:szCs w:val="32"/>
    </w:rPr>
  </w:style>
  <w:style w:type="character" w:customStyle="1" w:styleId="266">
    <w:name w:val="正文文本 2 字符"/>
    <w:link w:val="44"/>
    <w:qFormat/>
    <w:uiPriority w:val="0"/>
    <w:rPr>
      <w:rFonts w:ascii="楷体_GB2312" w:hAnsi="Times New Roman" w:eastAsia="楷体_GB2312" w:cs="Times New Roman"/>
      <w:sz w:val="28"/>
      <w:szCs w:val="28"/>
    </w:rPr>
  </w:style>
  <w:style w:type="character" w:customStyle="1" w:styleId="267">
    <w:name w:val="批注主题 字符"/>
    <w:link w:val="48"/>
    <w:semiHidden/>
    <w:qFormat/>
    <w:uiPriority w:val="0"/>
    <w:rPr>
      <w:rFonts w:ascii="Times New Roman" w:hAnsi="Times New Roman" w:eastAsia="宋体" w:cs="Times New Roman"/>
      <w:b/>
      <w:bCs/>
      <w:szCs w:val="21"/>
    </w:rPr>
  </w:style>
  <w:style w:type="character" w:customStyle="1" w:styleId="268">
    <w:name w:val="正文文本首行缩进 字符"/>
    <w:link w:val="49"/>
    <w:qFormat/>
    <w:uiPriority w:val="0"/>
    <w:rPr>
      <w:rFonts w:ascii="仿宋_GB2312" w:hAnsi="Times New Roman" w:eastAsia="仿宋_GB2312" w:cs="Times New Roman"/>
      <w:sz w:val="30"/>
      <w:szCs w:val="30"/>
    </w:rPr>
  </w:style>
  <w:style w:type="character" w:customStyle="1" w:styleId="269">
    <w:name w:val="正文文本首行缩进 2 字符"/>
    <w:link w:val="50"/>
    <w:qFormat/>
    <w:uiPriority w:val="0"/>
    <w:rPr>
      <w:rFonts w:ascii="宋体" w:hAnsi="宋体" w:eastAsia="宋体" w:cs="Times New Roman"/>
      <w:szCs w:val="20"/>
    </w:rPr>
  </w:style>
  <w:style w:type="character" w:customStyle="1" w:styleId="270">
    <w:name w:val="已访问的超链接1"/>
    <w:qFormat/>
    <w:uiPriority w:val="0"/>
    <w:rPr>
      <w:color w:val="800080"/>
      <w:u w:val="single"/>
    </w:rPr>
  </w:style>
  <w:style w:type="character" w:customStyle="1" w:styleId="271">
    <w:name w:val="font5 Char"/>
    <w:qFormat/>
    <w:uiPriority w:val="0"/>
    <w:rPr>
      <w:rFonts w:ascii="宋体" w:hAnsi="宋体" w:eastAsia="宋体"/>
      <w:sz w:val="28"/>
      <w:szCs w:val="28"/>
      <w:lang w:val="en-US" w:eastAsia="zh-CN" w:bidi="ar-SA"/>
    </w:rPr>
  </w:style>
  <w:style w:type="character" w:customStyle="1" w:styleId="272">
    <w:name w:val="二级目录 Char"/>
    <w:link w:val="273"/>
    <w:qFormat/>
    <w:uiPriority w:val="0"/>
    <w:rPr>
      <w:b/>
      <w:sz w:val="30"/>
      <w:szCs w:val="28"/>
    </w:rPr>
  </w:style>
  <w:style w:type="paragraph" w:customStyle="1" w:styleId="273">
    <w:name w:val="二级目录"/>
    <w:next w:val="1"/>
    <w:link w:val="272"/>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74">
    <w:name w:val="列出段落 Char"/>
    <w:link w:val="275"/>
    <w:qFormat/>
    <w:uiPriority w:val="0"/>
    <w:rPr>
      <w:rFonts w:ascii="Calibri" w:hAnsi="Calibri"/>
      <w:sz w:val="24"/>
      <w:szCs w:val="24"/>
      <w:lang w:eastAsia="en-US" w:bidi="en-US"/>
    </w:rPr>
  </w:style>
  <w:style w:type="paragraph" w:customStyle="1" w:styleId="275">
    <w:name w:val="列出段落1"/>
    <w:basedOn w:val="1"/>
    <w:link w:val="274"/>
    <w:qFormat/>
    <w:uiPriority w:val="0"/>
    <w:pPr>
      <w:widowControl/>
      <w:ind w:left="720"/>
      <w:contextualSpacing/>
      <w:jc w:val="left"/>
    </w:pPr>
    <w:rPr>
      <w:rFonts w:ascii="Calibri" w:hAnsi="Calibri"/>
      <w:sz w:val="24"/>
      <w:szCs w:val="24"/>
      <w:lang w:eastAsia="en-US" w:bidi="en-US"/>
    </w:rPr>
  </w:style>
  <w:style w:type="paragraph" w:customStyle="1" w:styleId="276">
    <w:name w:val="Body Text(ch)"/>
    <w:basedOn w:val="1"/>
    <w:next w:val="18"/>
    <w:qFormat/>
    <w:uiPriority w:val="0"/>
    <w:pPr>
      <w:spacing w:after="120"/>
    </w:pPr>
    <w:rPr>
      <w:rFonts w:ascii="宋体" w:hAnsi="Arial"/>
      <w:bCs/>
      <w:iCs/>
      <w:szCs w:val="24"/>
    </w:rPr>
  </w:style>
  <w:style w:type="paragraph" w:customStyle="1" w:styleId="27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9">
    <w:name w:val="Char"/>
    <w:basedOn w:val="1"/>
    <w:qFormat/>
    <w:uiPriority w:val="0"/>
    <w:pPr>
      <w:tabs>
        <w:tab w:val="left" w:pos="360"/>
      </w:tabs>
      <w:ind w:firstLine="200"/>
    </w:pPr>
    <w:rPr>
      <w:sz w:val="28"/>
      <w:szCs w:val="30"/>
    </w:rPr>
  </w:style>
  <w:style w:type="paragraph" w:customStyle="1" w:styleId="280">
    <w:name w:val="Char1"/>
    <w:basedOn w:val="15"/>
    <w:qFormat/>
    <w:uiPriority w:val="0"/>
    <w:rPr>
      <w:rFonts w:ascii="Tahoma" w:hAnsi="Tahoma"/>
      <w:sz w:val="24"/>
      <w:szCs w:val="24"/>
    </w:rPr>
  </w:style>
  <w:style w:type="paragraph" w:customStyle="1" w:styleId="281">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2">
    <w:name w:val="table_lines"/>
    <w:basedOn w:val="1"/>
    <w:qFormat/>
    <w:uiPriority w:val="0"/>
    <w:pPr>
      <w:widowControl/>
      <w:jc w:val="left"/>
    </w:pPr>
    <w:rPr>
      <w:sz w:val="20"/>
      <w:szCs w:val="20"/>
      <w:lang w:val="de-DE" w:eastAsia="de-DE"/>
    </w:rPr>
  </w:style>
  <w:style w:type="paragraph" w:customStyle="1" w:styleId="283">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28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5">
    <w:name w:val="Char Char Char Char"/>
    <w:basedOn w:val="15"/>
    <w:qFormat/>
    <w:uiPriority w:val="0"/>
    <w:pPr>
      <w:spacing w:line="360" w:lineRule="auto"/>
    </w:pPr>
    <w:rPr>
      <w:rFonts w:ascii="Tahoma" w:hAnsi="Tahoma"/>
      <w:sz w:val="24"/>
      <w:szCs w:val="24"/>
    </w:rPr>
  </w:style>
  <w:style w:type="paragraph" w:customStyle="1" w:styleId="286">
    <w:name w:val="4"/>
    <w:basedOn w:val="1"/>
    <w:next w:val="40"/>
    <w:qFormat/>
    <w:uiPriority w:val="0"/>
    <w:pPr>
      <w:spacing w:line="360" w:lineRule="auto"/>
      <w:ind w:firstLine="420"/>
    </w:pPr>
    <w:rPr>
      <w:color w:val="FF0000"/>
      <w:sz w:val="24"/>
      <w:szCs w:val="24"/>
    </w:rPr>
  </w:style>
  <w:style w:type="paragraph" w:customStyle="1" w:styleId="287">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8">
    <w:name w:val="Char Char Char Char Char Char Char Char Char Char"/>
    <w:basedOn w:val="1"/>
    <w:qFormat/>
    <w:uiPriority w:val="0"/>
    <w:pPr>
      <w:spacing w:line="360" w:lineRule="auto"/>
    </w:pPr>
    <w:rPr>
      <w:sz w:val="24"/>
      <w:szCs w:val="20"/>
    </w:rPr>
  </w:style>
  <w:style w:type="paragraph" w:customStyle="1" w:styleId="289">
    <w:name w:val="样式1"/>
    <w:basedOn w:val="1"/>
    <w:qFormat/>
    <w:uiPriority w:val="0"/>
    <w:pPr>
      <w:numPr>
        <w:ilvl w:val="0"/>
        <w:numId w:val="3"/>
      </w:numPr>
    </w:pPr>
    <w:rPr>
      <w:rFonts w:ascii="宋体" w:hAnsi="宋体"/>
      <w:szCs w:val="21"/>
    </w:rPr>
  </w:style>
  <w:style w:type="paragraph" w:customStyle="1" w:styleId="29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2">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3">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5">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8">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9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0">
    <w:name w:val="Char Char Char Char1"/>
    <w:basedOn w:val="15"/>
    <w:qFormat/>
    <w:uiPriority w:val="0"/>
    <w:pPr>
      <w:spacing w:line="360" w:lineRule="auto"/>
    </w:pPr>
    <w:rPr>
      <w:rFonts w:ascii="Tahoma" w:hAnsi="Tahoma"/>
      <w:sz w:val="24"/>
      <w:szCs w:val="24"/>
    </w:rPr>
  </w:style>
  <w:style w:type="paragraph" w:customStyle="1" w:styleId="301">
    <w:name w:val="table_1stline"/>
    <w:basedOn w:val="1"/>
    <w:qFormat/>
    <w:uiPriority w:val="0"/>
    <w:pPr>
      <w:widowControl/>
      <w:spacing w:before="120"/>
      <w:jc w:val="left"/>
    </w:pPr>
    <w:rPr>
      <w:bCs/>
      <w:sz w:val="20"/>
      <w:szCs w:val="20"/>
      <w:lang w:val="de-DE" w:eastAsia="de-DE"/>
    </w:rPr>
  </w:style>
  <w:style w:type="paragraph" w:customStyle="1" w:styleId="302">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04">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305">
    <w:name w:val="正文文本1"/>
    <w:basedOn w:val="1"/>
    <w:next w:val="1"/>
    <w:unhideWhenUsed/>
    <w:qFormat/>
    <w:uiPriority w:val="99"/>
    <w:pPr>
      <w:spacing w:after="120"/>
    </w:pPr>
  </w:style>
  <w:style w:type="paragraph" w:customStyle="1" w:styleId="306">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cs="Arial"/>
      <w:szCs w:val="24"/>
    </w:rPr>
  </w:style>
  <w:style w:type="paragraph" w:customStyle="1" w:styleId="307">
    <w:name w:val="UserStyle_0"/>
    <w:qFormat/>
    <w:uiPriority w:val="0"/>
    <w:rPr>
      <w:rFonts w:hint="default" w:ascii="仿宋_GB2312" w:hAnsi="Times New Roman" w:eastAsia="仿宋_GB2312" w:cs="Times New Roman"/>
      <w:color w:val="000000"/>
      <w:sz w:val="24"/>
      <w:szCs w:val="24"/>
      <w:lang w:val="en-US" w:eastAsia="zh-CN" w:bidi="ar-SA"/>
    </w:rPr>
  </w:style>
  <w:style w:type="character" w:customStyle="1" w:styleId="308">
    <w:name w:val="NormalCharacter1"/>
    <w:semiHidden/>
    <w:qFormat/>
    <w:uiPriority w:val="0"/>
  </w:style>
  <w:style w:type="paragraph" w:customStyle="1" w:styleId="309">
    <w:name w:val="正文 New New New New New New New New New New New New New New New New New New New New New New New New New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0">
    <w:name w:val="段"/>
    <w:next w:val="311"/>
    <w:qFormat/>
    <w:uiPriority w:val="99"/>
    <w:pPr>
      <w:ind w:firstLine="200"/>
      <w:jc w:val="both"/>
    </w:pPr>
    <w:rPr>
      <w:rFonts w:hint="default" w:ascii="宋体" w:hAnsi="Times New Roman" w:eastAsia="宋体" w:cs="Times New Roman"/>
      <w:sz w:val="22"/>
      <w:lang w:val="en-US" w:eastAsia="zh-CN" w:bidi="ar-SA"/>
    </w:rPr>
  </w:style>
  <w:style w:type="paragraph" w:customStyle="1" w:styleId="311">
    <w:name w:val="正文 A"/>
    <w:next w:val="310"/>
    <w:qFormat/>
    <w:uiPriority w:val="0"/>
    <w:pPr>
      <w:widowControl w:val="0"/>
      <w:jc w:val="both"/>
    </w:pPr>
    <w:rPr>
      <w:rFonts w:hint="default" w:ascii="Arial Unicode MS" w:hAnsi="Arial Unicode MS" w:eastAsia="Arial Unicode MS" w:cs="Arial Unicode MS"/>
      <w:color w:val="000000"/>
      <w:sz w:val="21"/>
      <w:szCs w:val="21"/>
      <w:lang w:val="en-US" w:eastAsia="zh-CN" w:bidi="ar-SA"/>
    </w:rPr>
  </w:style>
  <w:style w:type="character" w:customStyle="1" w:styleId="312">
    <w:name w:val="font21"/>
    <w:qFormat/>
    <w:uiPriority w:val="0"/>
    <w:rPr>
      <w:rFonts w:ascii="宋体" w:hAnsi="宋体" w:eastAsia="宋体" w:cs="宋体"/>
      <w:b/>
      <w:bCs/>
      <w:color w:val="000000"/>
      <w:sz w:val="14"/>
      <w:szCs w:val="14"/>
      <w:u w:val="none"/>
    </w:rPr>
  </w:style>
  <w:style w:type="character" w:customStyle="1" w:styleId="313">
    <w:name w:val="font31"/>
    <w:qFormat/>
    <w:uiPriority w:val="0"/>
    <w:rPr>
      <w:rFonts w:ascii="宋体" w:hAnsi="宋体" w:eastAsia="宋体" w:cs="宋体"/>
      <w:color w:val="000000"/>
      <w:sz w:val="14"/>
      <w:szCs w:val="14"/>
      <w:u w:val="none"/>
    </w:rPr>
  </w:style>
  <w:style w:type="paragraph" w:customStyle="1" w:styleId="314">
    <w:name w:val="TOC Heading1"/>
    <w:next w:val="1"/>
    <w:qFormat/>
    <w:uiPriority w:val="0"/>
    <w:rPr>
      <w:rFonts w:hint="default" w:ascii="Calibri" w:hAnsi="Calibri" w:eastAsia="宋体" w:cs="Times New Roman"/>
      <w:sz w:val="32"/>
      <w:lang w:val="en-US" w:eastAsia="zh-CN" w:bidi="ar-SA"/>
    </w:rPr>
  </w:style>
  <w:style w:type="paragraph" w:customStyle="1" w:styleId="315">
    <w:name w:val="BodyText1I21"/>
    <w:basedOn w:val="316"/>
    <w:qFormat/>
    <w:uiPriority w:val="0"/>
    <w:pPr>
      <w:spacing w:after="120" w:line="240" w:lineRule="auto"/>
      <w:ind w:left="420" w:firstLine="420"/>
    </w:pPr>
    <w:rPr>
      <w:rFonts w:ascii="Calibri" w:hAnsi="Calibri"/>
      <w:szCs w:val="22"/>
    </w:rPr>
  </w:style>
  <w:style w:type="paragraph" w:customStyle="1" w:styleId="316">
    <w:name w:val="BodyTextIndent1"/>
    <w:basedOn w:val="1"/>
    <w:next w:val="317"/>
    <w:qFormat/>
    <w:uiPriority w:val="0"/>
    <w:pPr>
      <w:spacing w:line="280" w:lineRule="atLeast"/>
      <w:ind w:firstLine="412"/>
    </w:pPr>
    <w:rPr>
      <w:rFonts w:ascii="Courier New" w:hAnsi="Courier New"/>
      <w:szCs w:val="20"/>
    </w:rPr>
  </w:style>
  <w:style w:type="paragraph" w:customStyle="1" w:styleId="317">
    <w:name w:val="EnvelopeReturn1"/>
    <w:basedOn w:val="1"/>
    <w:qFormat/>
    <w:uiPriority w:val="0"/>
    <w:rPr>
      <w:rFonts w:ascii="Arial" w:hAnsi="Arial"/>
      <w:szCs w:val="24"/>
    </w:rPr>
  </w:style>
  <w:style w:type="paragraph" w:customStyle="1" w:styleId="318">
    <w:name w:val="PlainText1"/>
    <w:basedOn w:val="1"/>
    <w:qFormat/>
    <w:uiPriority w:val="0"/>
    <w:rPr>
      <w:rFonts w:ascii="宋体" w:hAnsi="Courier New"/>
      <w:szCs w:val="21"/>
    </w:rPr>
  </w:style>
  <w:style w:type="character" w:customStyle="1" w:styleId="319">
    <w:name w:val="UserStyle_6"/>
    <w:basedOn w:val="308"/>
    <w:qFormat/>
    <w:uiPriority w:val="0"/>
  </w:style>
  <w:style w:type="character" w:customStyle="1" w:styleId="320">
    <w:name w:val="font41"/>
    <w:qFormat/>
    <w:uiPriority w:val="0"/>
    <w:rPr>
      <w:rFonts w:hint="eastAsia" w:ascii="宋体" w:hAnsi="宋体" w:eastAsia="宋体" w:cs="宋体"/>
      <w:color w:val="000000"/>
      <w:sz w:val="24"/>
      <w:szCs w:val="24"/>
      <w:u w:val="none"/>
    </w:rPr>
  </w:style>
  <w:style w:type="paragraph" w:customStyle="1" w:styleId="321">
    <w:name w:val="UserStyle_29"/>
    <w:next w:val="322"/>
    <w:qFormat/>
    <w:uiPriority w:val="0"/>
    <w:pPr>
      <w:jc w:val="both"/>
    </w:pPr>
    <w:rPr>
      <w:rFonts w:hint="default" w:ascii="Arial Unicode MS" w:hAnsi="Arial Unicode MS" w:eastAsia="宋体" w:cs="Times New Roman"/>
      <w:color w:val="000000"/>
      <w:sz w:val="21"/>
      <w:szCs w:val="21"/>
      <w:lang w:val="en-US" w:eastAsia="zh-CN" w:bidi="ar-SA"/>
    </w:rPr>
  </w:style>
  <w:style w:type="paragraph" w:customStyle="1" w:styleId="322">
    <w:name w:val="UserStyle_30"/>
    <w:next w:val="321"/>
    <w:qFormat/>
    <w:uiPriority w:val="0"/>
    <w:pPr>
      <w:ind w:firstLine="200"/>
      <w:jc w:val="both"/>
    </w:pPr>
    <w:rPr>
      <w:rFonts w:hint="default" w:ascii="宋体" w:hAnsi="宋体" w:eastAsia="宋体" w:cs="Times New Roman"/>
      <w:color w:val="000000"/>
      <w:sz w:val="21"/>
      <w:szCs w:val="21"/>
      <w:lang w:val="en-US" w:eastAsia="zh-CN" w:bidi="ar-SA"/>
    </w:rPr>
  </w:style>
  <w:style w:type="character" w:customStyle="1" w:styleId="323">
    <w:name w:val="NormalCharacter"/>
    <w:semiHidden/>
    <w:qFormat/>
    <w:uiPriority w:val="0"/>
  </w:style>
  <w:style w:type="paragraph" w:customStyle="1" w:styleId="324">
    <w:name w:val="列出段落3"/>
    <w:basedOn w:val="1"/>
    <w:qFormat/>
    <w:uiPriority w:val="0"/>
    <w:pPr>
      <w:widowControl/>
      <w:ind w:firstLine="420"/>
    </w:pPr>
    <w:rPr>
      <w:rFonts w:ascii="Calibri" w:hAnsi="Calibri"/>
      <w:szCs w:val="20"/>
    </w:rPr>
  </w:style>
  <w:style w:type="paragraph" w:customStyle="1" w:styleId="325">
    <w:name w:val="foot-second"/>
    <w:basedOn w:val="1"/>
    <w:qFormat/>
    <w:uiPriority w:val="0"/>
    <w:pPr>
      <w:widowControl/>
      <w:spacing w:before="100" w:beforeAutospacing="1" w:after="100" w:afterAutospacing="1"/>
      <w:jc w:val="left"/>
    </w:pPr>
    <w:rPr>
      <w:rFonts w:ascii="宋体" w:hAnsi="宋体" w:cs="宋体"/>
      <w:sz w:val="24"/>
      <w:szCs w:val="24"/>
    </w:rPr>
  </w:style>
  <w:style w:type="character" w:customStyle="1" w:styleId="326">
    <w:name w:val="foot-second-space"/>
    <w:qFormat/>
    <w:uiPriority w:val="0"/>
  </w:style>
  <w:style w:type="paragraph" w:customStyle="1" w:styleId="327">
    <w:name w:val="正文首行缩进 21"/>
    <w:basedOn w:val="328"/>
    <w:qFormat/>
    <w:uiPriority w:val="0"/>
    <w:pPr>
      <w:ind w:firstLine="420"/>
    </w:pPr>
  </w:style>
  <w:style w:type="paragraph" w:customStyle="1" w:styleId="328">
    <w:name w:val="正文文本缩进1"/>
    <w:basedOn w:val="1"/>
    <w:qFormat/>
    <w:uiPriority w:val="0"/>
    <w:pPr>
      <w:spacing w:after="120"/>
      <w:ind w:left="420"/>
    </w:pPr>
  </w:style>
  <w:style w:type="paragraph" w:customStyle="1" w:styleId="329">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330">
    <w:name w:val="页脚1"/>
    <w:basedOn w:val="1"/>
    <w:unhideWhenUsed/>
    <w:qFormat/>
    <w:uiPriority w:val="99"/>
    <w:pPr>
      <w:tabs>
        <w:tab w:val="center" w:pos="4153"/>
        <w:tab w:val="right" w:pos="8306"/>
      </w:tabs>
      <w:jc w:val="left"/>
    </w:pPr>
    <w:rPr>
      <w:sz w:val="18"/>
      <w:szCs w:val="18"/>
    </w:rPr>
  </w:style>
  <w:style w:type="paragraph" w:customStyle="1" w:styleId="331">
    <w:name w:val="正文 New New New New New New New New New New New New New New New New New New New New New New New New New New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32">
    <w:name w:val="标题 31"/>
    <w:basedOn w:val="1"/>
    <w:next w:val="1"/>
    <w:qFormat/>
    <w:uiPriority w:val="0"/>
    <w:pPr>
      <w:keepNext/>
      <w:keepLines/>
      <w:numPr>
        <w:ilvl w:val="2"/>
        <w:numId w:val="1"/>
      </w:numPr>
      <w:spacing w:before="260" w:after="260" w:line="416" w:lineRule="atLeast"/>
      <w:outlineLvl w:val="2"/>
    </w:pPr>
    <w:rPr>
      <w:b/>
      <w:bCs/>
      <w:sz w:val="32"/>
      <w:szCs w:val="32"/>
    </w:rPr>
  </w:style>
  <w:style w:type="paragraph" w:customStyle="1" w:styleId="333">
    <w:name w:val="普通(网站)12"/>
    <w:basedOn w:val="1"/>
    <w:unhideWhenUsed/>
    <w:qFormat/>
    <w:uiPriority w:val="0"/>
    <w:pPr>
      <w:widowControl/>
      <w:spacing w:before="100" w:beforeAutospacing="1" w:after="100" w:afterAutospacing="1"/>
      <w:jc w:val="left"/>
    </w:pPr>
    <w:rPr>
      <w:rFonts w:eastAsia="Times New Roman"/>
      <w:sz w:val="24"/>
    </w:rPr>
  </w:style>
  <w:style w:type="paragraph" w:customStyle="1" w:styleId="334">
    <w:name w:val="Normal_0_2"/>
    <w:qFormat/>
    <w:uiPriority w:val="0"/>
    <w:pPr>
      <w:spacing w:after="0" w:line="240" w:lineRule="auto"/>
    </w:pPr>
    <w:rPr>
      <w:rFonts w:ascii="Times New Roman" w:hAnsi="Times New Roman" w:eastAsia="Times New Roman" w:cs="Times New Roman"/>
      <w:kern w:val="0"/>
      <w:sz w:val="24"/>
      <w:szCs w:val="24"/>
      <w:lang w:val="en-US" w:eastAsia="zh-CN" w:bidi="ar-SA"/>
      <w14:ligatures w14:val="none"/>
    </w:rPr>
  </w:style>
  <w:style w:type="paragraph" w:customStyle="1" w:styleId="335">
    <w:name w:val="Normal_21"/>
    <w:qFormat/>
    <w:uiPriority w:val="0"/>
    <w:pPr>
      <w:spacing w:after="0" w:line="240" w:lineRule="auto"/>
    </w:pPr>
    <w:rPr>
      <w:rFonts w:ascii="Times New Roman" w:hAnsi="Times New Roman" w:eastAsia="Times New Roman" w:cs="Times New Roman"/>
      <w:kern w:val="0"/>
      <w:sz w:val="24"/>
      <w:szCs w:val="24"/>
      <w:lang w:val="en-US" w:eastAsia="zh-CN" w:bidi="ar-SA"/>
      <w14:ligatures w14:val="none"/>
    </w:rPr>
  </w:style>
  <w:style w:type="paragraph" w:customStyle="1" w:styleId="336">
    <w:name w:val="Normal_18"/>
    <w:qFormat/>
    <w:uiPriority w:val="0"/>
    <w:pPr>
      <w:spacing w:after="0" w:line="240" w:lineRule="auto"/>
    </w:pPr>
    <w:rPr>
      <w:rFonts w:ascii="Times New Roman" w:hAnsi="Times New Roman" w:eastAsia="Times New Roman" w:cs="Times New Roman"/>
      <w:kern w:val="0"/>
      <w:sz w:val="24"/>
      <w:szCs w:val="24"/>
      <w:lang w:val="en-US" w:eastAsia="zh-CN" w:bidi="ar-SA"/>
      <w14:ligatures w14: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Company>
  <Pages>49</Pages>
  <Words>14581</Words>
  <Characters>15768</Characters>
  <TotalTime>32</TotalTime>
  <ScaleCrop>false</ScaleCrop>
  <LinksUpToDate>false</LinksUpToDate>
  <CharactersWithSpaces>16133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2023-03-16T18:13:00Z</dcterms:created>
  <dc:creator>赵国</dc:creator>
  <cp:lastModifiedBy>莹莹家</cp:lastModifiedBy>
  <cp:lastPrinted>2025-12-03T06:00:00Z</cp:lastPrinted>
  <dcterms:modified xsi:type="dcterms:W3CDTF">2025-12-30T01:35:04Z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7F30BAAAAA0A407DAC6BF712F4735F3F_13</vt:lpwstr>
  </property>
  <property fmtid="{D5CDD505-2E9C-101B-9397-08002B2CF9AE}" pid="4" name="KSOTemplateDocerSaveRecord">
    <vt:lpwstr>eyJoZGlkIjoiN2VmMDE4Y2U0ZjFhM2FjZTY3MTRmZDhiODlkMTViN2UiLCJ1c2VySWQiOiI0MDY1MDk3NjkifQ==</vt:lpwstr>
  </property>
</Properties>
</file>